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84FF02" w14:textId="77777777" w:rsidR="00903F0E" w:rsidRDefault="00A5357C">
      <w:pPr>
        <w:widowControl/>
        <w:ind w:leftChars="210" w:left="883" w:hangingChars="100" w:hanging="442"/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2023年度南京市城乡建设委员会--南京市房</w:t>
      </w:r>
    </w:p>
    <w:p w14:paraId="7437F060" w14:textId="77777777" w:rsidR="00903F0E" w:rsidRDefault="00A5357C">
      <w:pPr>
        <w:widowControl/>
        <w:ind w:leftChars="210" w:left="883" w:hangingChars="100" w:hanging="442"/>
        <w:rPr>
          <w:rFonts w:ascii="楷体" w:eastAsia="宋体" w:hAnsi="楷体" w:cs="宋体" w:hint="eastAsia"/>
          <w:ker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44"/>
          <w:szCs w:val="44"/>
        </w:rPr>
        <w:t>屋征收指导中心</w:t>
      </w:r>
      <w:r>
        <w:rPr>
          <w:rFonts w:ascii="宋体" w:eastAsia="宋体" w:hAnsi="宋体" w:cs="宋体" w:hint="eastAsia"/>
          <w:b/>
          <w:bCs/>
          <w:sz w:val="44"/>
          <w:szCs w:val="44"/>
        </w:rPr>
        <w:t>整体预算绩效自评价报告</w:t>
      </w:r>
    </w:p>
    <w:p w14:paraId="210D8E5C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根据市财政局《关于开展2023年度部门整体绩效评价工作相关事项说明的通知》（宁财绩通〔2020〕16号）精神，我中心高度重视，对单位内部各部门履职成效进行了认真核实和分类评价，并按时间节点要求序时推进工作进度。现将部门整体绩效评价工作报告如下：</w:t>
      </w:r>
    </w:p>
    <w:p w14:paraId="201B2016" w14:textId="77777777" w:rsidR="00903F0E" w:rsidRDefault="00A5357C">
      <w:pPr>
        <w:widowControl/>
        <w:spacing w:line="560" w:lineRule="exact"/>
        <w:ind w:firstLineChars="200" w:firstLine="640"/>
        <w:rPr>
          <w:rFonts w:ascii="黑体" w:eastAsia="黑体" w:hAnsi="黑体" w:cs="黑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一、部门概况</w:t>
      </w:r>
    </w:p>
    <w:p w14:paraId="4BAABC77" w14:textId="77777777" w:rsidR="00903F0E" w:rsidRDefault="00A5357C">
      <w:pPr>
        <w:widowControl/>
        <w:spacing w:line="560" w:lineRule="exact"/>
        <w:ind w:firstLineChars="200" w:firstLine="640"/>
        <w:rPr>
          <w:rFonts w:ascii="楷体" w:eastAsia="楷体" w:hAnsi="楷体" w:cs="楷体" w:hint="eastAsia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（一）部门</w:t>
      </w:r>
      <w:r>
        <w:rPr>
          <w:rFonts w:ascii="楷体" w:eastAsia="楷体" w:hAnsi="楷体" w:cs="楷体" w:hint="eastAsia"/>
          <w:sz w:val="32"/>
          <w:szCs w:val="32"/>
        </w:rPr>
        <w:t>基本情况</w:t>
      </w:r>
    </w:p>
    <w:p w14:paraId="700CFE37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1、单位基本情况</w:t>
      </w:r>
    </w:p>
    <w:p w14:paraId="3D816DC8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南京市房屋征收指导中心成立于1991年，为市建委下属事业单位，编制核定数46人，现有在职员工41人，主要职责为：承担城市更新年度计划编制、项目库管理、政策研究等辅助服务工作；组织市级、跨区域城市更新项目的方案论证；承担城市更新项目推进、协议搬迁、资金使用、信息化管理等事务性工作；承担全市国有土地上房屋征收与补偿的日常工作。</w:t>
      </w:r>
    </w:p>
    <w:p w14:paraId="295D576B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2、资产情况</w:t>
      </w:r>
    </w:p>
    <w:p w14:paraId="7CEF5B77" w14:textId="640CE0BA" w:rsidR="00903F0E" w:rsidRDefault="00A5357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截</w:t>
      </w:r>
      <w:r w:rsidR="00142A1F">
        <w:rPr>
          <w:rFonts w:ascii="仿宋" w:eastAsia="仿宋" w:hAnsi="仿宋" w:cs="仿宋" w:hint="eastAsia"/>
          <w:sz w:val="32"/>
          <w:szCs w:val="32"/>
        </w:rPr>
        <w:t>至</w:t>
      </w:r>
      <w:r>
        <w:rPr>
          <w:rFonts w:ascii="仿宋" w:eastAsia="仿宋" w:hAnsi="仿宋" w:cs="仿宋" w:hint="eastAsia"/>
          <w:sz w:val="32"/>
          <w:szCs w:val="32"/>
        </w:rPr>
        <w:t>2023</w:t>
      </w:r>
      <w:r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>12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>31</w:t>
      </w:r>
      <w:r>
        <w:rPr>
          <w:rFonts w:ascii="仿宋" w:eastAsia="仿宋" w:hAnsi="仿宋" w:hint="eastAsia"/>
          <w:sz w:val="32"/>
          <w:szCs w:val="32"/>
        </w:rPr>
        <w:t>日，资产账面数为：</w:t>
      </w:r>
      <w:r>
        <w:rPr>
          <w:rFonts w:ascii="仿宋" w:eastAsia="仿宋" w:hAnsi="仿宋" w:cs="仿宋" w:hint="eastAsia"/>
          <w:sz w:val="32"/>
          <w:szCs w:val="32"/>
        </w:rPr>
        <w:t xml:space="preserve">资产3065.53万元（其中流动资产1946.28万元，占比63.49%；非流动资产1119.25万元，占比36.51%）、负债1850.57万元、净资产1214.96万元；实有数为：资产3065.53万元、负债1850.57万元、净资产1214.96万元，账实一致。    </w:t>
      </w:r>
    </w:p>
    <w:p w14:paraId="0594DBE5" w14:textId="77777777" w:rsidR="00903F0E" w:rsidRDefault="00903F0E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3AC496D1" w14:textId="77777777" w:rsidR="00903F0E" w:rsidRDefault="00903F0E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</w:p>
    <w:p w14:paraId="22DA935D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3、重点工作任务</w:t>
      </w:r>
    </w:p>
    <w:p w14:paraId="36541C8B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作为全市城市更新和国有土地上房屋征收与补偿的日常管理机构，重点工作为：制订、解释全市城市更新和征收政策；编制城市更新年度计划；监督管理各区征收行为，协调服务各区重点、难点问题，落实评估工作及机构信用管理，配合各区做好信访维稳，培训指导全市征收工作人员；监管市级征收补偿资金等。</w:t>
      </w:r>
    </w:p>
    <w:p w14:paraId="53D7DE75" w14:textId="77777777" w:rsidR="00903F0E" w:rsidRDefault="00A5357C">
      <w:pPr>
        <w:widowControl/>
        <w:spacing w:line="560" w:lineRule="exact"/>
        <w:ind w:firstLineChars="200" w:firstLine="640"/>
        <w:rPr>
          <w:rFonts w:ascii="楷体" w:eastAsia="楷体" w:hAnsi="楷体" w:cs="楷体" w:hint="eastAsia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（二）部门收支情况</w:t>
      </w:r>
    </w:p>
    <w:p w14:paraId="1B7DFFCE" w14:textId="77777777" w:rsidR="00903F0E" w:rsidRDefault="00A5357C">
      <w:pPr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2023年度部门预算收入1302.76万元，其中：一般公共预算财政拨款收入1302.76万元。部门预算支出1302.76万元，其中:基本支出1159.82万元，项目支出142.94万元。预算执行率达到100%。</w:t>
      </w:r>
    </w:p>
    <w:p w14:paraId="4BCB3862" w14:textId="77777777" w:rsidR="00903F0E" w:rsidRDefault="00A5357C">
      <w:pPr>
        <w:widowControl/>
        <w:spacing w:line="560" w:lineRule="exact"/>
        <w:ind w:firstLineChars="200" w:firstLine="640"/>
        <w:rPr>
          <w:rFonts w:ascii="楷体" w:eastAsia="楷体" w:hAnsi="楷体" w:cs="楷体" w:hint="eastAsia"/>
          <w:color w:val="000000"/>
          <w:kern w:val="0"/>
          <w:sz w:val="32"/>
          <w:szCs w:val="32"/>
        </w:rPr>
      </w:pPr>
      <w:r>
        <w:rPr>
          <w:rFonts w:ascii="楷体" w:eastAsia="楷体" w:hAnsi="楷体" w:cs="楷体" w:hint="eastAsia"/>
          <w:color w:val="000000"/>
          <w:kern w:val="0"/>
          <w:sz w:val="32"/>
          <w:szCs w:val="32"/>
        </w:rPr>
        <w:t>（三）部门（单位）绩效目标</w:t>
      </w:r>
    </w:p>
    <w:p w14:paraId="4E3EEA6E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中长期目标：全力推进全市征收拆迁项目的实施，加大拆迁遗留项目的推进力度，加强政策法规体系建设，做好评估、信访维稳工作，坚持阳光征收，依法依规，坚决维护群众利益，确保征收项目平稳推进。</w:t>
      </w:r>
    </w:p>
    <w:p w14:paraId="5EB46E34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年度目标：2</w:t>
      </w:r>
      <w:r>
        <w:rPr>
          <w:rFonts w:ascii="仿宋" w:eastAsia="仿宋" w:hAnsi="仿宋" w:cs="仿宋" w:hint="eastAsia"/>
          <w:sz w:val="32"/>
          <w:szCs w:val="32"/>
        </w:rPr>
        <w:t>023年是全面贯彻党的二十大精神的开局之年，根据市委市政府关于“五拼五比晒五榜”竞赛活动的工作部署，我中心重点围绕重大项目的建设推进、问题协调、要素保障等内容开展比拼，着力在拼经济、开新局方面贡献力量，同时根据职能调整充分发挥机构作用，进一步强化学习研究，统筹相关工作，积极探索有温度的城市更新之路。</w:t>
      </w:r>
    </w:p>
    <w:p w14:paraId="4AF49E7A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kern w:val="0"/>
          <w:sz w:val="32"/>
          <w:szCs w:val="32"/>
        </w:rPr>
        <w:t>二、评价结论</w:t>
      </w:r>
    </w:p>
    <w:p w14:paraId="25708324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t>本次绩效评价依据市财政局《南京市级财政预算绩效管理办法》、《南京市市级预算绩效管理工作计划》、《南京市市级预</w:t>
      </w:r>
      <w:r>
        <w:rPr>
          <w:rFonts w:ascii="仿宋" w:eastAsia="仿宋" w:hAnsi="仿宋" w:cs="仿宋" w:hint="eastAsia"/>
          <w:color w:val="000000" w:themeColor="text1"/>
          <w:kern w:val="0"/>
          <w:sz w:val="32"/>
          <w:szCs w:val="32"/>
        </w:rPr>
        <w:lastRenderedPageBreak/>
        <w:t>算绩效管理结果应用暂行办法》等相关规定，紧密联系单位实际，运用评价体系及评分标准，设置了6个一级指标、21个二级指标、46个三级指标体系；同时结合单位年度工作计划、财务账表数据、部门履职情况、市级考核情况等方式，整理数据、分析汇总，对我中心部门整体绩效进行严格认真地评价。绩效综合评分97分，等级为“优秀”。</w:t>
      </w:r>
    </w:p>
    <w:p w14:paraId="6863C73B" w14:textId="77777777" w:rsidR="00903F0E" w:rsidRDefault="00A5357C">
      <w:pPr>
        <w:widowControl/>
        <w:spacing w:line="560" w:lineRule="exact"/>
        <w:ind w:firstLineChars="200" w:firstLine="640"/>
        <w:rPr>
          <w:rFonts w:ascii="黑体" w:eastAsia="黑体" w:hAnsi="黑体" w:cs="黑体" w:hint="eastAsia"/>
          <w:kern w:val="0"/>
          <w:sz w:val="24"/>
          <w:szCs w:val="24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</w:rPr>
        <w:t>三、部门履职成效</w:t>
      </w:r>
    </w:p>
    <w:p w14:paraId="56DF0364" w14:textId="77777777" w:rsidR="00903F0E" w:rsidRDefault="00A5357C">
      <w:pPr>
        <w:spacing w:line="560" w:lineRule="exact"/>
        <w:ind w:firstLineChars="200" w:firstLine="640"/>
        <w:rPr>
          <w:rFonts w:ascii="仿宋" w:eastAsia="仿宋" w:hAnsi="仿宋" w:cs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color w:val="000000" w:themeColor="text1"/>
          <w:sz w:val="32"/>
          <w:szCs w:val="32"/>
        </w:rPr>
        <w:t>2023年度单位履职成效显著，圆满完成了年度工作任务，现将具体工作汇报如下：</w:t>
      </w:r>
    </w:p>
    <w:p w14:paraId="4491EED1" w14:textId="77777777" w:rsidR="00903F0E" w:rsidRDefault="00A5357C">
      <w:pPr>
        <w:spacing w:line="560" w:lineRule="exact"/>
        <w:ind w:firstLineChars="100" w:firstLine="320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（一）紧盯征收项目，加强督导考核</w:t>
      </w:r>
    </w:p>
    <w:p w14:paraId="2D839973" w14:textId="77777777" w:rsidR="00903F0E" w:rsidRDefault="00A5357C">
      <w:pPr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2023年全市实施征收项目共130个，涉及征收居民1154户，工企单位221家，房屋建筑面积106.58万平方米,其中新实施征收项目8个。全年共完成征收项目25个，居民371户，工企单位69家，房屋建筑面积34.92万平方米。中心充分发挥精细化考核的“指挥棒”作用，一是修改完善《省市重点城建项目、市级土地储备项目及未完成项目征收服务保障工作考核细则》，进一步明确考核标准，在坚持结果导向的同时，注重过程考核，突出精细化管理。二是确定了项目年度目标任务和月度目标形象计划，形成了《纳入2023年考核的省市重点城建项目、市级土地储备项目时间节点表》，实现了“挂图作战”，夯实考核基础。三是结合市委、市政府主要领导的批示及重点项目的实施情况，加强跟踪考核，常态化做好每月考核工作并形成考核通报，针对未达序时进度的省市重点城建项目、市级土地储备项目开展现场督查，研究推进措施，确保考核工作取得实效。37个纳入考核的重点项目中，已有10个项目完成年度目标任务，剩余27个项目正在推进，有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力地保障了地铁6号线、北沿江高铁、建宁西路过江通道等省市重点城建项目、市级土地储备项目。</w:t>
      </w:r>
    </w:p>
    <w:p w14:paraId="2CA29C3B" w14:textId="77777777" w:rsidR="00903F0E" w:rsidRDefault="00A5357C">
      <w:pPr>
        <w:spacing w:line="560" w:lineRule="exact"/>
        <w:ind w:firstLineChars="200" w:firstLine="640"/>
        <w:rPr>
          <w:rFonts w:ascii="黑体" w:eastAsia="黑体" w:hAnsi="黑体" w:cs="黑体" w:hint="eastAsia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（二）</w:t>
      </w:r>
      <w:r>
        <w:rPr>
          <w:rFonts w:ascii="Times New Roman" w:eastAsia="黑体" w:hAnsi="Times New Roman" w:cs="Times New Roman"/>
          <w:sz w:val="32"/>
          <w:szCs w:val="32"/>
        </w:rPr>
        <w:t>积极探索路径，转型城市更新</w:t>
      </w:r>
    </w:p>
    <w:p w14:paraId="755059E6" w14:textId="77777777" w:rsidR="00903F0E" w:rsidRDefault="00A5357C">
      <w:pPr>
        <w:widowControl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一是</w:t>
      </w:r>
      <w:r>
        <w:rPr>
          <w:rFonts w:ascii="仿宋" w:eastAsia="仿宋" w:hAnsi="仿宋" w:cs="仿宋" w:hint="eastAsia"/>
          <w:sz w:val="32"/>
          <w:szCs w:val="32"/>
        </w:rPr>
        <w:t>加强制度设计，做好协议搬迁配套政策研究。按照市更新办和市建委部署要求，我中心今年7月开始起草《南京市城市更新项目协议搬迁工作规程（试行）》及《南京市城市更新项目搬迁协议（示范文本）》，在梳理其他城市更新相关政策规定，总结提炼我市城市更新项目协议搬迁实践经验基础上，经多轮研究讨论，目前已形成征求意见稿，计划年底正式印发。</w:t>
      </w:r>
    </w:p>
    <w:p w14:paraId="2695BDEC" w14:textId="77777777" w:rsidR="00903F0E" w:rsidRDefault="00A5357C">
      <w:pPr>
        <w:widowControl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二是</w:t>
      </w:r>
      <w:r>
        <w:rPr>
          <w:rFonts w:ascii="仿宋" w:eastAsia="仿宋" w:hAnsi="仿宋" w:cs="仿宋" w:hint="eastAsia"/>
          <w:sz w:val="32"/>
          <w:szCs w:val="32"/>
        </w:rPr>
        <w:t>强化知识储备，举办城市更新工作专题培训。全年共组织召开4次城市更新专题讲座，通过线上、线下结合的形式，面向全市城市更新部门、征收部门、评估机构开展培训，邀请城市更新领域的学者、专家、项目负责人等对城市更新法律法规、实际案例、先进做法进行解读，不断提高城市更新工作的能力和水平。</w:t>
      </w:r>
    </w:p>
    <w:p w14:paraId="59A3D9D4" w14:textId="77777777" w:rsidR="00903F0E" w:rsidRDefault="00A5357C">
      <w:pPr>
        <w:widowControl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三是</w:t>
      </w:r>
      <w:r>
        <w:rPr>
          <w:rFonts w:ascii="仿宋" w:eastAsia="仿宋" w:hAnsi="仿宋" w:cs="仿宋" w:hint="eastAsia"/>
          <w:sz w:val="32"/>
          <w:szCs w:val="32"/>
        </w:rPr>
        <w:t>学习先进经验，开展城市更新工作专题调研。分批次组织业务骨干赴上海、广州、成都等兄弟城市调研，并以分享交流会的形式在全中心扩大调研成果。结合主题教育，探索居住类城市更新。赴我市小西湖、荷花塘、浦口火车站等城市更新项目现场做深入了解，研究问题解决路径，为后续项目实施总结经验。</w:t>
      </w:r>
    </w:p>
    <w:p w14:paraId="7DE884B6" w14:textId="77777777" w:rsidR="00903F0E" w:rsidRDefault="00A5357C">
      <w:pPr>
        <w:widowControl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（三）</w:t>
      </w:r>
      <w:r>
        <w:rPr>
          <w:rFonts w:ascii="Times New Roman" w:eastAsia="黑体" w:hAnsi="Times New Roman" w:cs="Times New Roman"/>
          <w:sz w:val="32"/>
          <w:szCs w:val="32"/>
        </w:rPr>
        <w:t>出台</w:t>
      </w:r>
      <w:r>
        <w:rPr>
          <w:rFonts w:ascii="Times New Roman" w:eastAsia="黑体" w:hAnsi="Times New Roman" w:cs="Times New Roman"/>
          <w:sz w:val="32"/>
          <w:szCs w:val="32"/>
        </w:rPr>
        <w:t>“</w:t>
      </w:r>
      <w:r>
        <w:rPr>
          <w:rFonts w:ascii="Times New Roman" w:eastAsia="黑体" w:hAnsi="Times New Roman" w:cs="Times New Roman"/>
          <w:sz w:val="32"/>
          <w:szCs w:val="32"/>
        </w:rPr>
        <w:t>房票</w:t>
      </w:r>
      <w:r>
        <w:rPr>
          <w:rFonts w:ascii="Times New Roman" w:eastAsia="黑体" w:hAnsi="Times New Roman" w:cs="Times New Roman"/>
          <w:sz w:val="32"/>
          <w:szCs w:val="32"/>
        </w:rPr>
        <w:t>”</w:t>
      </w:r>
      <w:r>
        <w:rPr>
          <w:rFonts w:ascii="Times New Roman" w:eastAsia="黑体" w:hAnsi="Times New Roman" w:cs="Times New Roman"/>
          <w:sz w:val="32"/>
          <w:szCs w:val="32"/>
        </w:rPr>
        <w:t>政策，</w:t>
      </w:r>
      <w:r>
        <w:rPr>
          <w:rFonts w:ascii="Times New Roman" w:eastAsia="黑体" w:hAnsi="Times New Roman" w:cs="Times New Roman" w:hint="eastAsia"/>
          <w:sz w:val="32"/>
          <w:szCs w:val="32"/>
        </w:rPr>
        <w:t>增进民生福祉</w:t>
      </w:r>
    </w:p>
    <w:p w14:paraId="5C382D21" w14:textId="77777777" w:rsidR="00903F0E" w:rsidRDefault="00A5357C">
      <w:pPr>
        <w:pStyle w:val="a4"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sz w:val="32"/>
          <w:szCs w:val="32"/>
          <w:lang w:eastAsia="zh-CN"/>
        </w:rPr>
        <w:t>根据在省、市《推动经济运行率先整体好转的若干政策措施》中“完善征收拆迁安置补偿方式”的要求，为进一步满足被征收人多元化安置需求，缩短安置过渡期限，我中心积极谋划，潜心研究，草拟了《南京市国有土地上住宅房屋征收房票安置暂行办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lastRenderedPageBreak/>
        <w:t>法》，经市委市政府同意，于3月正式印发。</w:t>
      </w:r>
    </w:p>
    <w:p w14:paraId="7228444B" w14:textId="77777777" w:rsidR="00903F0E" w:rsidRDefault="00A5357C">
      <w:pPr>
        <w:pStyle w:val="a4"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一是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开展全市“房票”工作培训，指导雨花台区、江宁区制定《房屋征收补偿房票安置实施细则》，优化工作流程。</w:t>
      </w:r>
    </w:p>
    <w:p w14:paraId="0DD0F460" w14:textId="77777777" w:rsidR="00903F0E" w:rsidRDefault="00A5357C">
      <w:pPr>
        <w:pStyle w:val="a4"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二是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进一步加强研究，着力扩宽房票安置适用范围，积极探索集体土地上房票安置政策，并会同市规划资源局前往扬州、盐城学习调研。</w:t>
      </w:r>
    </w:p>
    <w:p w14:paraId="243BB58F" w14:textId="77777777" w:rsidR="00903F0E" w:rsidRDefault="00A5357C">
      <w:pPr>
        <w:pStyle w:val="a4"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  <w:lang w:eastAsia="zh-CN"/>
        </w:rPr>
      </w:pPr>
      <w:r>
        <w:rPr>
          <w:rFonts w:ascii="仿宋" w:eastAsia="仿宋" w:hAnsi="仿宋" w:cs="仿宋" w:hint="eastAsia"/>
          <w:b/>
          <w:bCs/>
          <w:sz w:val="32"/>
          <w:szCs w:val="32"/>
          <w:lang w:eastAsia="zh-CN"/>
        </w:rPr>
        <w:t>三是</w:t>
      </w:r>
      <w:r>
        <w:rPr>
          <w:rFonts w:ascii="仿宋" w:eastAsia="仿宋" w:hAnsi="仿宋" w:cs="仿宋" w:hint="eastAsia"/>
          <w:sz w:val="32"/>
          <w:szCs w:val="32"/>
          <w:lang w:eastAsia="zh-CN"/>
        </w:rPr>
        <w:t>会同市房产局、市规划资源局，从房票通兑、房源超市系统、具体操作办法、资金池四个方面出发，研究关键控制点，起草《关于进一步做好房票安置相关工作的通知》并不断修改完善。</w:t>
      </w:r>
    </w:p>
    <w:p w14:paraId="21B0E8A5" w14:textId="77777777" w:rsidR="00903F0E" w:rsidRDefault="00A5357C">
      <w:pPr>
        <w:widowControl/>
        <w:spacing w:line="560" w:lineRule="exact"/>
        <w:ind w:firstLineChars="200" w:firstLine="640"/>
        <w:rPr>
          <w:rFonts w:ascii="Times New Roman" w:eastAsia="黑体" w:hAnsi="Times New Roman" w:cs="Times New Roman"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kern w:val="0"/>
          <w:sz w:val="32"/>
          <w:szCs w:val="32"/>
        </w:rPr>
        <w:t>（四）</w:t>
      </w:r>
      <w:r>
        <w:rPr>
          <w:rFonts w:ascii="Times New Roman" w:eastAsia="黑体" w:hAnsi="Times New Roman" w:cs="Times New Roman"/>
          <w:kern w:val="0"/>
          <w:sz w:val="32"/>
          <w:szCs w:val="32"/>
        </w:rPr>
        <w:t>落实信访维稳，开展专项行动</w:t>
      </w:r>
    </w:p>
    <w:p w14:paraId="1AD9D68A" w14:textId="77777777" w:rsidR="00903F0E" w:rsidRDefault="00A5357C">
      <w:pPr>
        <w:widowControl/>
        <w:spacing w:line="560" w:lineRule="exact"/>
        <w:ind w:firstLineChars="200" w:firstLine="64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中心全年共受理信访件110件，其中12345工单64件，办结率为100%，全市国有土地上房屋征收拆迁矛盾纠纷情况较为平稳，未发生有影响的重大群访集访事件。</w:t>
      </w:r>
    </w:p>
    <w:p w14:paraId="32082262" w14:textId="77777777" w:rsidR="00903F0E" w:rsidRDefault="00A5357C">
      <w:pPr>
        <w:widowControl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一是</w:t>
      </w:r>
      <w:r>
        <w:rPr>
          <w:rFonts w:ascii="仿宋" w:eastAsia="仿宋" w:hAnsi="仿宋" w:cs="仿宋" w:hint="eastAsia"/>
          <w:sz w:val="32"/>
          <w:szCs w:val="32"/>
        </w:rPr>
        <w:t>落实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信访突出问题交办事项</w:t>
      </w:r>
      <w:r>
        <w:rPr>
          <w:rFonts w:ascii="仿宋" w:eastAsia="仿宋" w:hAnsi="仿宋" w:cs="仿宋" w:hint="eastAsia"/>
          <w:sz w:val="32"/>
          <w:szCs w:val="32"/>
        </w:rPr>
        <w:t>。</w:t>
      </w:r>
      <w:bookmarkStart w:id="0" w:name="_Hlk151704746"/>
      <w:r>
        <w:rPr>
          <w:rFonts w:ascii="仿宋" w:eastAsia="仿宋" w:hAnsi="仿宋" w:cs="仿宋" w:hint="eastAsia"/>
          <w:color w:val="000000"/>
          <w:sz w:val="32"/>
          <w:szCs w:val="32"/>
        </w:rPr>
        <w:t>根据《信访突出问题领导包案分工的通知》</w:t>
      </w:r>
      <w:bookmarkEnd w:id="0"/>
      <w:r>
        <w:rPr>
          <w:rFonts w:ascii="仿宋" w:eastAsia="仿宋" w:hAnsi="仿宋" w:cs="仿宋" w:hint="eastAsia"/>
          <w:color w:val="000000"/>
          <w:sz w:val="32"/>
          <w:szCs w:val="32"/>
        </w:rPr>
        <w:t>，对照委领导包案责任清单中涉及我中心的27件具体事项</w:t>
      </w:r>
      <w:r>
        <w:rPr>
          <w:rFonts w:ascii="仿宋" w:eastAsia="仿宋" w:hAnsi="仿宋" w:cs="仿宋" w:hint="eastAsia"/>
          <w:sz w:val="32"/>
          <w:szCs w:val="32"/>
        </w:rPr>
        <w:t>，逐件修改形成信访突出问题专项攻坚材料，积极筹备委包案领导下访调研督导前期准备工作，及时跟踪化解情况，加强相关政策指导，全力推动信访事项有效化解。</w:t>
      </w:r>
    </w:p>
    <w:p w14:paraId="7D1BD08E" w14:textId="77777777" w:rsidR="00903F0E" w:rsidRDefault="00A5357C">
      <w:pPr>
        <w:widowControl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t>二是</w:t>
      </w:r>
      <w:r>
        <w:rPr>
          <w:rFonts w:ascii="仿宋" w:eastAsia="仿宋" w:hAnsi="仿宋" w:cs="仿宋" w:hint="eastAsia"/>
          <w:sz w:val="32"/>
          <w:szCs w:val="32"/>
        </w:rPr>
        <w:t>有力推动遗留问题解决。协助市区信访部门会商会办信访老户历史遗留问题，通过市信访工作联席会办纪要，推动了建邺区李玲美、赵伯涵，顾和珍户矛盾纠纷化解；由市信访局牵头，联合相关部门接待了玄武区的孙忠宁、秦淮区的周利强、周利俊、建邺区何明正户，多措并举解决问题。</w:t>
      </w:r>
    </w:p>
    <w:p w14:paraId="2F1CD850" w14:textId="77777777" w:rsidR="00903F0E" w:rsidRDefault="00A5357C">
      <w:pPr>
        <w:widowControl/>
        <w:spacing w:line="560" w:lineRule="exact"/>
        <w:ind w:firstLineChars="200" w:firstLine="643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z w:val="32"/>
          <w:szCs w:val="32"/>
        </w:rPr>
        <w:lastRenderedPageBreak/>
        <w:t>三是</w:t>
      </w:r>
      <w:r>
        <w:rPr>
          <w:rFonts w:ascii="仿宋" w:eastAsia="仿宋" w:hAnsi="仿宋" w:cs="仿宋" w:hint="eastAsia"/>
          <w:sz w:val="32"/>
          <w:szCs w:val="32"/>
        </w:rPr>
        <w:t>强化征收拆迁信访稳定。全力保障重要时间节点的信访稳定。着力加强重点信访人的协调化解，对程伟、吴菊芳、朱海平等人的信访事项进行会商会办。其中，朱海平经我中心多次与区房产局协调，最终签订补偿协议，此信访事项得到实质性化解。</w:t>
      </w:r>
    </w:p>
    <w:p w14:paraId="00A3514E" w14:textId="77777777" w:rsidR="00903F0E" w:rsidRDefault="00A5357C">
      <w:pPr>
        <w:pStyle w:val="a3"/>
        <w:spacing w:line="560" w:lineRule="exact"/>
        <w:ind w:firstLine="640"/>
        <w:rPr>
          <w:rFonts w:ascii="Times New Roman" w:eastAsia="黑体" w:hAnsi="Times New Roman" w:cs="Times New Roman"/>
          <w:sz w:val="32"/>
          <w:szCs w:val="32"/>
        </w:rPr>
      </w:pPr>
      <w:r>
        <w:rPr>
          <w:rFonts w:ascii="Times New Roman" w:eastAsia="黑体" w:hAnsi="Times New Roman" w:cs="Times New Roman" w:hint="eastAsia"/>
          <w:sz w:val="32"/>
          <w:szCs w:val="32"/>
        </w:rPr>
        <w:t>（五）</w:t>
      </w:r>
      <w:r>
        <w:rPr>
          <w:rFonts w:ascii="Times New Roman" w:eastAsia="黑体" w:hAnsi="Times New Roman" w:cs="Times New Roman"/>
          <w:sz w:val="32"/>
          <w:szCs w:val="32"/>
        </w:rPr>
        <w:t>不断开拓创新，优化服务水平</w:t>
      </w:r>
    </w:p>
    <w:p w14:paraId="1472C174" w14:textId="77777777" w:rsidR="00903F0E" w:rsidRDefault="00A5357C">
      <w:pPr>
        <w:pStyle w:val="a3"/>
        <w:spacing w:line="560" w:lineRule="exact"/>
        <w:ind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一是</w:t>
      </w:r>
      <w:r>
        <w:rPr>
          <w:rFonts w:ascii="仿宋" w:eastAsia="仿宋" w:hAnsi="仿宋" w:cs="仿宋" w:hint="eastAsia"/>
          <w:bCs/>
          <w:sz w:val="32"/>
          <w:szCs w:val="32"/>
        </w:rPr>
        <w:t>进一步优化“E路平安征收”信息管理平台，推进智慧化工地建设，完成雨花台区开发区24班初中项目、浦口区龙华路地铁二期智慧工地建设，同时通过无人机“鸟瞰”“空诊”，强化征收工地日常巡查；向</w:t>
      </w:r>
      <w:r>
        <w:rPr>
          <w:rFonts w:ascii="仿宋" w:eastAsia="仿宋" w:hAnsi="仿宋" w:cs="仿宋" w:hint="eastAsia"/>
          <w:sz w:val="32"/>
          <w:szCs w:val="32"/>
        </w:rPr>
        <w:t>委信息中心提交关于南京市智慧城建2023建设项目申请立项函，并完成开发征收智慧工地移动端建设单位的中标工作，目前已进入开发阶段。</w:t>
      </w:r>
    </w:p>
    <w:p w14:paraId="117447C0" w14:textId="77777777" w:rsidR="00903F0E" w:rsidRDefault="00A5357C">
      <w:pPr>
        <w:spacing w:line="560" w:lineRule="exact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二是</w:t>
      </w:r>
      <w:r>
        <w:rPr>
          <w:rFonts w:ascii="仿宋" w:eastAsia="仿宋" w:hAnsi="仿宋" w:cs="仿宋" w:hint="eastAsia"/>
          <w:bCs/>
          <w:sz w:val="32"/>
          <w:szCs w:val="32"/>
        </w:rPr>
        <w:t>有序开展评估机构信用评价管理工作。及时开展信用名录库更新工作，积极做好征收项目现场评估检查及疑难问题协调服务工作，全年共组织138名评估机构拟新进人员职业水平测试和272名评估人员执业能力测试，保障了各机构征收评估用人需求。同时创作了“信用+征收 助力有温度的城市更新”为主题的微视频，该视频全面介绍了我市房屋征收评估机构信用管理体系建立的背景、运行管理方式以及取得的成效，展现了信用管理体系以人民为中心，在助力有温度的城市更新方面发挥的重大作用和重要意义，在第五届中国城市信用建设高峰论坛中荣获最具创新奖。</w:t>
      </w:r>
    </w:p>
    <w:p w14:paraId="34F1501A" w14:textId="77777777" w:rsidR="00903F0E" w:rsidRDefault="00A5357C">
      <w:pPr>
        <w:spacing w:line="560" w:lineRule="exact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三是</w:t>
      </w:r>
      <w:r>
        <w:rPr>
          <w:rFonts w:ascii="仿宋" w:eastAsia="仿宋" w:hAnsi="仿宋" w:cs="仿宋" w:hint="eastAsia"/>
          <w:bCs/>
          <w:sz w:val="32"/>
          <w:szCs w:val="32"/>
        </w:rPr>
        <w:t>继续发挥司法联席会议机制作用。全年共召开五次联席会议，共同对项目推进中存在的房屋权属、面积认定、涉法涉诉等问题进行了探讨，进一步保障征收项目依法依规顺利推进。为提高运用法治思维和法治方式的能力，中心在秦淮区委党校举办</w:t>
      </w:r>
      <w:r>
        <w:rPr>
          <w:rFonts w:ascii="仿宋" w:eastAsia="仿宋" w:hAnsi="仿宋" w:cs="仿宋" w:hint="eastAsia"/>
          <w:bCs/>
          <w:sz w:val="32"/>
          <w:szCs w:val="32"/>
        </w:rPr>
        <w:lastRenderedPageBreak/>
        <w:t>了全市房屋征收政策法规培训班，邀请了省人大法制委法工委分党组副书记王腊生、省高院行政庭副庭长刘军和市法院行政庭法官张天帆对《江苏省行政程序条例》、全市征收决定、征收补偿决定等相关案例紧密结合征收工作实际，对征收补偿法律问题进行释明指导。</w:t>
      </w:r>
    </w:p>
    <w:p w14:paraId="289AD23F" w14:textId="77777777" w:rsidR="00903F0E" w:rsidRDefault="00A5357C">
      <w:pPr>
        <w:spacing w:line="560" w:lineRule="exact"/>
        <w:ind w:firstLineChars="200" w:firstLine="643"/>
        <w:rPr>
          <w:rFonts w:ascii="仿宋" w:eastAsia="仿宋" w:hAnsi="仿宋" w:cs="仿宋" w:hint="eastAsia"/>
          <w:bCs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四是</w:t>
      </w:r>
      <w:r>
        <w:rPr>
          <w:rFonts w:ascii="仿宋" w:eastAsia="仿宋" w:hAnsi="仿宋" w:cs="仿宋" w:hint="eastAsia"/>
          <w:bCs/>
          <w:sz w:val="32"/>
          <w:szCs w:val="32"/>
        </w:rPr>
        <w:t>开展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社会稳定风险评估研究。在对各区征收项目社会稳定风险评估工作开展调研的基础上，针对存在问题，结合我市实际，就优化我市房屋征收社会稳定风险评估的量度过程，应对存在风险进行了研究分析，提出了相应对策措施，并顺利完成了《房屋征收社会稳定风险评估的量度和应变策略》调研课题报告，为相关政策制定和实践操作提供了参考。</w:t>
      </w:r>
    </w:p>
    <w:p w14:paraId="56808015" w14:textId="77777777" w:rsidR="00903F0E" w:rsidRDefault="00A5357C">
      <w:pPr>
        <w:widowControl/>
        <w:numPr>
          <w:ilvl w:val="0"/>
          <w:numId w:val="1"/>
        </w:numPr>
        <w:spacing w:line="560" w:lineRule="exact"/>
        <w:ind w:firstLineChars="200" w:firstLine="640"/>
        <w:jc w:val="left"/>
        <w:rPr>
          <w:rFonts w:ascii="黑体" w:eastAsia="黑体" w:hAnsi="黑体" w:cs="宋体" w:hint="eastAsia"/>
          <w:color w:val="000000"/>
          <w:kern w:val="0"/>
          <w:sz w:val="32"/>
          <w:szCs w:val="32"/>
        </w:rPr>
      </w:pPr>
      <w:r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存在问题及原因分析</w:t>
      </w:r>
    </w:p>
    <w:p w14:paraId="1ABE88E0" w14:textId="77777777" w:rsidR="00903F0E" w:rsidRDefault="00A5357C">
      <w:pPr>
        <w:widowControl/>
        <w:spacing w:line="560" w:lineRule="exact"/>
        <w:jc w:val="left"/>
        <w:rPr>
          <w:rFonts w:ascii="仿宋" w:eastAsia="仿宋" w:hAnsi="仿宋" w:cs="仿宋" w:hint="eastAsia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kern w:val="0"/>
          <w:sz w:val="32"/>
          <w:szCs w:val="32"/>
        </w:rPr>
        <w:t>部分项目预算执行率过低。未完成指标原因分析，其中征收拆迁宣传公示费、征收拆迁便民手册工本费、办公室维修改造费和办公设备购置4个项目扣分指标是预算执行率低，原因是按照市财政要求，对上述项目预算经费进行压减。</w:t>
      </w:r>
    </w:p>
    <w:p w14:paraId="1A95B013" w14:textId="77777777" w:rsidR="00903F0E" w:rsidRDefault="00A5357C">
      <w:pPr>
        <w:spacing w:line="560" w:lineRule="exact"/>
        <w:ind w:firstLineChars="200" w:firstLine="640"/>
        <w:rPr>
          <w:rFonts w:ascii="黑体" w:eastAsia="黑体" w:hAnsi="黑体" w:cs="黑体" w:hint="eastAsia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五、有关建议</w:t>
      </w:r>
    </w:p>
    <w:p w14:paraId="7B90934E" w14:textId="77777777" w:rsidR="00903F0E" w:rsidRDefault="00A5357C">
      <w:pPr>
        <w:spacing w:line="560" w:lineRule="exact"/>
        <w:ind w:firstLineChars="200" w:firstLine="640"/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建议财政多举办相关培训，进一步熟悉掌握绩效评价工作程序、方法和要求，为下年度工作开展打下扎实基础。</w:t>
      </w:r>
    </w:p>
    <w:p w14:paraId="746FFF55" w14:textId="77777777" w:rsidR="00903F0E" w:rsidRDefault="00A5357C">
      <w:pPr>
        <w:spacing w:line="560" w:lineRule="exact"/>
        <w:ind w:firstLineChars="200" w:firstLine="640"/>
        <w:rPr>
          <w:rFonts w:ascii="黑体" w:eastAsia="黑体" w:hAnsi="黑体" w:cs="黑体" w:hint="eastAsia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六、评价工作开展情况及其他需说明的情况</w:t>
      </w:r>
    </w:p>
    <w:p w14:paraId="07A36495" w14:textId="77777777" w:rsidR="00903F0E" w:rsidRDefault="00A5357C">
      <w:pPr>
        <w:spacing w:line="560" w:lineRule="exact"/>
        <w:ind w:firstLineChars="200" w:firstLine="640"/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因部门整体绩效评价工作开展时间不长，工作中还存在许多不足，离工作标准要求还有一定差距，不足之处敬请提出宝贵意见，我们将认真加以改正。</w:t>
      </w:r>
    </w:p>
    <w:p w14:paraId="22564F9E" w14:textId="77777777" w:rsidR="00903F0E" w:rsidRDefault="00903F0E">
      <w:pPr>
        <w:spacing w:line="520" w:lineRule="exact"/>
        <w:rPr>
          <w:rFonts w:ascii="Times New Roman" w:eastAsia="方正仿宋_GBK" w:hAnsi="Times New Roman" w:cs="Times New Roman"/>
          <w:color w:val="000000"/>
          <w:kern w:val="0"/>
          <w:sz w:val="32"/>
          <w:szCs w:val="32"/>
        </w:rPr>
      </w:pPr>
    </w:p>
    <w:p w14:paraId="64392FAC" w14:textId="77777777" w:rsidR="00903F0E" w:rsidRDefault="00A5357C">
      <w:pPr>
        <w:spacing w:line="560" w:lineRule="exact"/>
        <w:ind w:firstLineChars="200" w:firstLine="640"/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Cs/>
          <w:color w:val="000000" w:themeColor="text1"/>
          <w:sz w:val="32"/>
          <w:szCs w:val="32"/>
        </w:rPr>
        <w:t>附件：市征收中心2023年部门整体绩效评价指标体系得分表</w:t>
      </w:r>
    </w:p>
    <w:p w14:paraId="00E6BA12" w14:textId="77777777" w:rsidR="00903F0E" w:rsidRDefault="00A5357C">
      <w:r>
        <w:lastRenderedPageBreak/>
        <w:br w:type="page"/>
      </w:r>
    </w:p>
    <w:p w14:paraId="2E7CFD30" w14:textId="77777777" w:rsidR="00903F0E" w:rsidRDefault="00903F0E">
      <w:pPr>
        <w:sectPr w:rsidR="00903F0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247" w:right="1418" w:bottom="1247" w:left="1474" w:header="851" w:footer="992" w:gutter="0"/>
          <w:cols w:space="425"/>
          <w:docGrid w:type="lines" w:linePitch="381"/>
        </w:sectPr>
      </w:pPr>
    </w:p>
    <w:p w14:paraId="0C09DA35" w14:textId="77777777" w:rsidR="00903F0E" w:rsidRDefault="00903F0E">
      <w:pPr>
        <w:widowControl/>
        <w:rPr>
          <w:rFonts w:ascii="仿宋" w:hAnsi="仿宋" w:cs="宋体" w:hint="eastAsia"/>
          <w:b/>
          <w:bCs/>
          <w:color w:val="000000"/>
          <w:kern w:val="0"/>
          <w:sz w:val="24"/>
          <w:szCs w:val="24"/>
        </w:rPr>
      </w:pPr>
    </w:p>
    <w:tbl>
      <w:tblPr>
        <w:tblW w:w="0" w:type="auto"/>
        <w:tblInd w:w="2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58"/>
        <w:gridCol w:w="3648"/>
        <w:gridCol w:w="2842"/>
        <w:gridCol w:w="816"/>
        <w:gridCol w:w="444"/>
        <w:gridCol w:w="3097"/>
      </w:tblGrid>
      <w:tr w:rsidR="00903F0E" w14:paraId="3936A0C2" w14:textId="77777777">
        <w:trPr>
          <w:trHeight w:val="600"/>
          <w:tblHeader/>
        </w:trPr>
        <w:tc>
          <w:tcPr>
            <w:tcW w:w="2158" w:type="dxa"/>
            <w:shd w:val="clear" w:color="auto" w:fill="auto"/>
            <w:vAlign w:val="center"/>
          </w:tcPr>
          <w:p w14:paraId="7104D1F8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3648" w:type="dxa"/>
            <w:shd w:val="clear" w:color="auto" w:fill="auto"/>
            <w:vAlign w:val="center"/>
          </w:tcPr>
          <w:p w14:paraId="60F80DD1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736F0C1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三级指标（参考）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1BEF030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权重</w:t>
            </w:r>
          </w:p>
        </w:tc>
        <w:tc>
          <w:tcPr>
            <w:tcW w:w="444" w:type="dxa"/>
            <w:vAlign w:val="center"/>
          </w:tcPr>
          <w:p w14:paraId="15110D46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A36F3D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b/>
                <w:bCs/>
                <w:color w:val="000000"/>
                <w:kern w:val="0"/>
                <w:sz w:val="24"/>
                <w:szCs w:val="24"/>
              </w:rPr>
              <w:t>评价要点</w:t>
            </w:r>
          </w:p>
        </w:tc>
      </w:tr>
      <w:tr w:rsidR="00903F0E" w14:paraId="05A761D7" w14:textId="77777777">
        <w:trPr>
          <w:trHeight w:val="600"/>
        </w:trPr>
        <w:tc>
          <w:tcPr>
            <w:tcW w:w="2158" w:type="dxa"/>
            <w:vMerge w:val="restart"/>
            <w:shd w:val="clear" w:color="auto" w:fill="auto"/>
            <w:vAlign w:val="center"/>
          </w:tcPr>
          <w:p w14:paraId="7FC1F7C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部门决策（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4F4BB48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决策机制（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659AF6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决策制度的规范性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9ABE99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332E70B9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7A73BA2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决策制度规范</w:t>
            </w:r>
          </w:p>
        </w:tc>
      </w:tr>
      <w:tr w:rsidR="00903F0E" w14:paraId="036BDF50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01611A20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0533E6C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332895F7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决策流程的科学性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70E02E0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2F911345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B9D0F96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决策流程科学</w:t>
            </w:r>
          </w:p>
        </w:tc>
      </w:tr>
      <w:tr w:rsidR="00903F0E" w14:paraId="7A77A9EC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C62B03D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51100C7F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FBC330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决策执行监督制衡机制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1FEC460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5C06420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0CE03E2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决策执行监督互相制衡</w:t>
            </w:r>
          </w:p>
        </w:tc>
      </w:tr>
      <w:tr w:rsidR="00903F0E" w14:paraId="256515C2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BBEC51C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409CAAA6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554B763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中长期规划明确性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B035354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59A0A990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395D04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中长期规划明确</w:t>
            </w:r>
          </w:p>
        </w:tc>
      </w:tr>
      <w:tr w:rsidR="00903F0E" w14:paraId="1D325BA3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320069A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54E1EBA8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A1A6A8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中长期规划与部门职能的匹配性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27525AA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4332D12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F8FDD8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中长期规划与部门职能匹配</w:t>
            </w:r>
          </w:p>
        </w:tc>
      </w:tr>
      <w:tr w:rsidR="00903F0E" w14:paraId="27CCFBA9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2FF23CA8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7B0DB49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57D63AEE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09FA549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1794BFC8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08E2277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年度工作计划明确</w:t>
            </w:r>
          </w:p>
        </w:tc>
      </w:tr>
      <w:tr w:rsidR="00903F0E" w14:paraId="63268F96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DDF405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78B4EB93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4FBE64CE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A32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年度工作计划与部门职能的匹配性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62E1D28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2217E11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9EE39A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年度工作计划与部门职能匹配</w:t>
            </w:r>
          </w:p>
        </w:tc>
      </w:tr>
      <w:tr w:rsidR="00903F0E" w14:paraId="4D673225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95F581D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39C43C95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部门预算编制（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3854F71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预算编制科学规范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E9935AE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46AD30B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D33F5BC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预算编制科学</w:t>
            </w:r>
          </w:p>
        </w:tc>
      </w:tr>
      <w:tr w:rsidR="00903F0E" w14:paraId="769E5A7E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0AFB913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6FFF4B7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2FFEF590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A42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预算编制与重点工作任务的匹配性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31F6D5A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7B2FFF2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911B01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预算编制与重点工作匹配</w:t>
            </w:r>
          </w:p>
        </w:tc>
      </w:tr>
      <w:tr w:rsidR="00903F0E" w14:paraId="7F4A7461" w14:textId="77777777">
        <w:trPr>
          <w:trHeight w:val="600"/>
        </w:trPr>
        <w:tc>
          <w:tcPr>
            <w:tcW w:w="2158" w:type="dxa"/>
            <w:vMerge w:val="restart"/>
            <w:shd w:val="clear" w:color="auto" w:fill="auto"/>
            <w:noWrap/>
            <w:vAlign w:val="center"/>
          </w:tcPr>
          <w:p w14:paraId="34028DAF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61023A6E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2D886F38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661F885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62BE5901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3B696EAE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56C7D19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4AC0798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55030A8E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70B8D39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7D9AE255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39E9CEFD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59B6A05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4E32210A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  <w:p w14:paraId="742A6B00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1A57CE32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B1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预算执行（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358E1CEC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部门预算执行率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7F84B86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7B761996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CC07B6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执行率是否达标</w:t>
            </w:r>
          </w:p>
        </w:tc>
      </w:tr>
      <w:tr w:rsidR="00903F0E" w14:paraId="0D387E3B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665FB156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0023131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5C9F89C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专项资金执行率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F759B3E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0DD17CBB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8AAD84B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执行率是否达标</w:t>
            </w:r>
          </w:p>
        </w:tc>
      </w:tr>
      <w:tr w:rsidR="00903F0E" w14:paraId="7BF4B882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4B4F4DC3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3C6711C0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5920B96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“三公”经费控制率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775AFA2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58DFC66C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BCBFEA5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“三公经费”是否超支</w:t>
            </w:r>
          </w:p>
        </w:tc>
      </w:tr>
      <w:tr w:rsidR="00903F0E" w14:paraId="68783622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65758BF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0FF48B9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339C624C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B14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预决算信息公开情况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173BEC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206B7300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527872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是否在“双平台”进行公开，内容和时限是否符合要求</w:t>
            </w:r>
          </w:p>
        </w:tc>
      </w:tr>
      <w:tr w:rsidR="00903F0E" w14:paraId="3AF36EFC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66C1B02F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2F90E240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64448FA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收支管理制度健全性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5481B24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2A45F844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952076B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收支管理制度健全</w:t>
            </w:r>
          </w:p>
        </w:tc>
      </w:tr>
      <w:tr w:rsidR="00903F0E" w14:paraId="4BCDD307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27F58E98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126C16E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57B7E39A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收支管理是否按制度执行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4A3678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4BC89FE8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6AAB61A4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收支管理按制度执行</w:t>
            </w:r>
          </w:p>
        </w:tc>
      </w:tr>
      <w:tr w:rsidR="00903F0E" w14:paraId="3B5CB365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32259673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67098A9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7417F596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资产管理制度健全性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635770C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5C24F56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0E8504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资产管理制度健全</w:t>
            </w:r>
          </w:p>
        </w:tc>
      </w:tr>
      <w:tr w:rsidR="00903F0E" w14:paraId="58BA124F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6E5B105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368ED3F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2066760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B32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资产管理是否按制度执行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5CAFFCE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27C42EB8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C411B1E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资产管理按制度执行</w:t>
            </w:r>
          </w:p>
        </w:tc>
      </w:tr>
      <w:tr w:rsidR="00903F0E" w14:paraId="3EA33E0E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55D3451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13ACFC8B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6E61105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政府采购管理制度健全性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CBE0F57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425F35C7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99EDD7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政府采购管理制度健全</w:t>
            </w:r>
          </w:p>
        </w:tc>
      </w:tr>
      <w:tr w:rsidR="00903F0E" w14:paraId="0E0CFB10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1790636C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1942F2E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386CC156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政府采购管理是否按制度执行</w:t>
            </w:r>
          </w:p>
        </w:tc>
        <w:tc>
          <w:tcPr>
            <w:tcW w:w="81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F41D609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tcBorders>
              <w:bottom w:val="single" w:sz="8" w:space="0" w:color="auto"/>
            </w:tcBorders>
            <w:vAlign w:val="center"/>
          </w:tcPr>
          <w:p w14:paraId="5BBCF048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A5AF24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政府采购按制度执行</w:t>
            </w:r>
          </w:p>
        </w:tc>
      </w:tr>
      <w:tr w:rsidR="00903F0E" w14:paraId="0177464D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23085F12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1333E93E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4987AFBD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内部控制建设情况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56DB2A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0C6CD94A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6D8AD25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是否有内部控制制度落实在手册等文本上</w:t>
            </w:r>
          </w:p>
        </w:tc>
      </w:tr>
      <w:tr w:rsidR="00903F0E" w14:paraId="469E7F8A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7D0B3FD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7C95DDB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1C67442B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内部控制执行情况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0AEF02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1240BDE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8C2DCD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是否按制度执行</w:t>
            </w:r>
          </w:p>
        </w:tc>
      </w:tr>
      <w:tr w:rsidR="00903F0E" w14:paraId="4C0F06ED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498FB8C2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29AFCC56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583EBB42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B63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内部控制监督评价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9A2BFC5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73A3DEE0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0AA3062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内控监督评价开展情况</w:t>
            </w:r>
          </w:p>
        </w:tc>
      </w:tr>
      <w:tr w:rsidR="00903F0E" w14:paraId="5A4CD7EE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7899E8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759327C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预算绩效管理（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96A315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组织管理情况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69F3E963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4D4D74CC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F869D49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考察是否有预决算制度和岗位职责分配</w:t>
            </w:r>
          </w:p>
        </w:tc>
      </w:tr>
      <w:tr w:rsidR="00903F0E" w14:paraId="44331C43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1049A3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389CA770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CD058C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工作开展情况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FEA3252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26992279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5BCC35A7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通过考察预算执行进度评价</w:t>
            </w:r>
          </w:p>
        </w:tc>
      </w:tr>
      <w:tr w:rsidR="00903F0E" w14:paraId="295D6DC1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7D012F3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0473E19A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CA28505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B73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绩效信息公开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1D5F3DF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4" w:type="dxa"/>
            <w:vAlign w:val="center"/>
          </w:tcPr>
          <w:p w14:paraId="77F990F1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C3A731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是否在“双平台”进行公开，内容和时限是否符合要求</w:t>
            </w:r>
          </w:p>
        </w:tc>
      </w:tr>
      <w:tr w:rsidR="00903F0E" w14:paraId="739CDF39" w14:textId="77777777">
        <w:trPr>
          <w:trHeight w:val="600"/>
        </w:trPr>
        <w:tc>
          <w:tcPr>
            <w:tcW w:w="2158" w:type="dxa"/>
            <w:vMerge w:val="restart"/>
            <w:shd w:val="clear" w:color="auto" w:fill="auto"/>
            <w:vAlign w:val="center"/>
          </w:tcPr>
          <w:p w14:paraId="00485464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部门履职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(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部门职能履职情况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)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71DA3A8B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征收工作协调推进情况（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5C04EBDE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参加各区征收范围论证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3D99829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0DAF480C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186B9E19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按照项目计划</w:t>
            </w:r>
          </w:p>
        </w:tc>
      </w:tr>
      <w:tr w:rsidR="00903F0E" w14:paraId="3A41DD17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642C8C1C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1C07F87F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8D4F04F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季度现场综合服务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C13EE2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3A50858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D3DE33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903F0E" w14:paraId="2780EA63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0BCB92BA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1BC8951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90CF4BD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加强现场服务，做好征收决定项目前期指导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115DEE4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3F14776B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F360C42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903F0E" w14:paraId="363C363A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17ACAA7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56144A2E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36EB454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C14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文明施工管理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908F0C1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5708E7B7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BAE3BE3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是否按要求完成</w:t>
            </w:r>
          </w:p>
        </w:tc>
      </w:tr>
      <w:tr w:rsidR="00903F0E" w14:paraId="3EE18A7D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3EF922D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76BA6ECA" w14:textId="77777777" w:rsidR="00903F0E" w:rsidRDefault="00A5357C">
            <w:pPr>
              <w:widowControl/>
              <w:ind w:left="2640" w:hangingChars="1100" w:hanging="2640"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评估工作协调推进情况（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69392FAB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评估机构信用评价体系建设情况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1E6AFBA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19F04F09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314C54B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按照计划是否完成</w:t>
            </w:r>
          </w:p>
        </w:tc>
      </w:tr>
      <w:tr w:rsidR="00903F0E" w14:paraId="75AFEF86" w14:textId="77777777">
        <w:trPr>
          <w:trHeight w:val="689"/>
        </w:trPr>
        <w:tc>
          <w:tcPr>
            <w:tcW w:w="2158" w:type="dxa"/>
            <w:vMerge/>
            <w:vAlign w:val="center"/>
          </w:tcPr>
          <w:p w14:paraId="6D8AB8BF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7DDE6155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5748F416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做好评估机构选定工作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4C8D3B9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76F30FB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FB6DFAF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按照项目计划是否完成</w:t>
            </w:r>
          </w:p>
        </w:tc>
      </w:tr>
      <w:tr w:rsidR="00903F0E" w14:paraId="1B21DB54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984D54C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77F7BAE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5CAC261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协助做好征收评估项目、拆迁遗留项目专家鉴定工作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E8FEA90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722682BB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A7239D7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按照项目情况是否完成</w:t>
            </w:r>
          </w:p>
        </w:tc>
      </w:tr>
      <w:tr w:rsidR="00903F0E" w14:paraId="02659F96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7CE7E068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6698ED24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13CE658F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C24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加强现场服务，做好重点项目评估服务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01ACC81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F245B7C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0D6902B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是否按要求完成</w:t>
            </w:r>
          </w:p>
        </w:tc>
      </w:tr>
      <w:tr w:rsidR="00903F0E" w14:paraId="1B7FC524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0FA7E86E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378C7A8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信访接待工作情况（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344C710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日常征收（拆迁）政策咨询接待、电话接听和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来信回复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09571A1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lastRenderedPageBreak/>
              <w:t>2</w:t>
            </w:r>
          </w:p>
        </w:tc>
        <w:tc>
          <w:tcPr>
            <w:tcW w:w="444" w:type="dxa"/>
            <w:vAlign w:val="center"/>
          </w:tcPr>
          <w:p w14:paraId="2034E589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8568D84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日常接待情况</w:t>
            </w:r>
          </w:p>
        </w:tc>
      </w:tr>
      <w:tr w:rsidR="00903F0E" w14:paraId="3BBF8E48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0FBAB4CC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08B6AADD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62C58EF7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做好日常信访维稳工作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500A79CA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3CEF0EFA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A1E696F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是否按要求完成</w:t>
            </w:r>
          </w:p>
        </w:tc>
      </w:tr>
      <w:tr w:rsidR="00903F0E" w14:paraId="4EF6233B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3EC23A85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vAlign w:val="center"/>
          </w:tcPr>
          <w:p w14:paraId="3C4BDC67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45533E53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C33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做好负责领导批示件、“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12345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”工单等信访件的扎口工作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258AC700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58012477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3EE0BE6D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903F0E" w14:paraId="3A0B4B7C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3B25AC9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7C51AE60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法规政策建设情况（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649BA583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C41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开展政策的调研和制定工作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229908B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4F9B0B4C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A0D448B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按照目标任务完成情况</w:t>
            </w:r>
          </w:p>
        </w:tc>
      </w:tr>
      <w:tr w:rsidR="00903F0E" w14:paraId="26D7131E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E5B965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shd w:val="clear" w:color="auto" w:fill="auto"/>
            <w:vAlign w:val="center"/>
          </w:tcPr>
          <w:p w14:paraId="7AA417BE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042FC971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C42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制定年度培训计划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84F9971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60BE5007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010FD6E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是否按时完成</w:t>
            </w:r>
          </w:p>
        </w:tc>
      </w:tr>
      <w:tr w:rsidR="00903F0E" w14:paraId="3CC6AA3A" w14:textId="77777777">
        <w:trPr>
          <w:trHeight w:val="578"/>
        </w:trPr>
        <w:tc>
          <w:tcPr>
            <w:tcW w:w="2158" w:type="dxa"/>
            <w:vMerge/>
            <w:vAlign w:val="center"/>
          </w:tcPr>
          <w:p w14:paraId="24053B8B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 w:val="restart"/>
            <w:shd w:val="clear" w:color="auto" w:fill="auto"/>
            <w:vAlign w:val="center"/>
          </w:tcPr>
          <w:p w14:paraId="77CA1C35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信息化建设情况（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1FA91FDB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C51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做好档案系统、“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路平安”征收信息系统功能优化、稳定运行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637DF1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18772B1D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BDA744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按照需求是否完成</w:t>
            </w:r>
          </w:p>
        </w:tc>
      </w:tr>
      <w:tr w:rsidR="00903F0E" w14:paraId="6A83F76B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2C7D5AB3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vMerge/>
            <w:shd w:val="clear" w:color="auto" w:fill="auto"/>
            <w:vAlign w:val="center"/>
          </w:tcPr>
          <w:p w14:paraId="600D4085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42" w:type="dxa"/>
            <w:shd w:val="clear" w:color="auto" w:fill="auto"/>
            <w:vAlign w:val="center"/>
          </w:tcPr>
          <w:p w14:paraId="777110B2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C52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做好各区信息系统对接工作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79A6976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444" w:type="dxa"/>
            <w:vAlign w:val="center"/>
          </w:tcPr>
          <w:p w14:paraId="09CCA3D2" w14:textId="77777777" w:rsidR="00903F0E" w:rsidRDefault="00A5357C">
            <w:pPr>
              <w:widowControl/>
              <w:jc w:val="center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AB55B80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按照需求是否完成</w:t>
            </w:r>
          </w:p>
        </w:tc>
      </w:tr>
      <w:tr w:rsidR="00903F0E" w14:paraId="7AAD7922" w14:textId="77777777">
        <w:trPr>
          <w:trHeight w:val="600"/>
        </w:trPr>
        <w:tc>
          <w:tcPr>
            <w:tcW w:w="2158" w:type="dxa"/>
            <w:vMerge w:val="restart"/>
            <w:shd w:val="clear" w:color="auto" w:fill="auto"/>
            <w:noWrap/>
            <w:vAlign w:val="center"/>
          </w:tcPr>
          <w:p w14:paraId="63B7AD5E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履职绩效（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25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48" w:type="dxa"/>
            <w:shd w:val="clear" w:color="auto" w:fill="auto"/>
            <w:vAlign w:val="center"/>
          </w:tcPr>
          <w:p w14:paraId="1882E5C3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社会效益（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70B531EB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人居环境改善，保障征收项目稳定推进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248FA88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444" w:type="dxa"/>
            <w:vAlign w:val="center"/>
          </w:tcPr>
          <w:p w14:paraId="74C01E7A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095E1DE4" w14:textId="77777777" w:rsidR="00903F0E" w:rsidRDefault="00A5357C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棚户区改造、地铁重点项目、是否按照预期推进</w:t>
            </w:r>
          </w:p>
        </w:tc>
      </w:tr>
      <w:tr w:rsidR="00903F0E" w14:paraId="613E53DF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6C0D0E3A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14:paraId="4BE7B11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D2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满意度（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1281C076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人民群众的满意度是否提升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16C12112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444" w:type="dxa"/>
            <w:vAlign w:val="center"/>
          </w:tcPr>
          <w:p w14:paraId="0A1E7DD8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4ECE73D3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信访工作人员获得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12345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工单表扬</w:t>
            </w:r>
          </w:p>
        </w:tc>
      </w:tr>
      <w:tr w:rsidR="00903F0E" w14:paraId="374AFFD4" w14:textId="77777777">
        <w:trPr>
          <w:trHeight w:val="600"/>
        </w:trPr>
        <w:tc>
          <w:tcPr>
            <w:tcW w:w="2158" w:type="dxa"/>
            <w:vMerge w:val="restart"/>
            <w:shd w:val="clear" w:color="auto" w:fill="auto"/>
            <w:noWrap/>
            <w:vAlign w:val="center"/>
          </w:tcPr>
          <w:p w14:paraId="2F247345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可持续发展能力（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10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48" w:type="dxa"/>
            <w:shd w:val="clear" w:color="auto" w:fill="auto"/>
            <w:vAlign w:val="center"/>
          </w:tcPr>
          <w:p w14:paraId="2466EF11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信息化建设情况（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noWrap/>
            <w:vAlign w:val="center"/>
          </w:tcPr>
          <w:p w14:paraId="1BEE2037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办公流程、业务开展是否能通过单位的信息系统实现</w:t>
            </w:r>
          </w:p>
        </w:tc>
        <w:tc>
          <w:tcPr>
            <w:tcW w:w="816" w:type="dxa"/>
            <w:shd w:val="clear" w:color="auto" w:fill="auto"/>
            <w:noWrap/>
            <w:vAlign w:val="center"/>
          </w:tcPr>
          <w:p w14:paraId="1956AAEF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44" w:type="dxa"/>
            <w:vAlign w:val="center"/>
          </w:tcPr>
          <w:p w14:paraId="2CE85B35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097" w:type="dxa"/>
            <w:shd w:val="clear" w:color="auto" w:fill="auto"/>
            <w:noWrap/>
            <w:vAlign w:val="center"/>
          </w:tcPr>
          <w:p w14:paraId="68FFC58F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通过单位的信息系统实现</w:t>
            </w:r>
          </w:p>
        </w:tc>
      </w:tr>
      <w:tr w:rsidR="00903F0E" w14:paraId="7DE138E9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3452BAD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14:paraId="1FA96683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E2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人力资源建设情况（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40CE8130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单位人才培养计划、人才选拔运用、激励措施等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D3EE0DC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444" w:type="dxa"/>
            <w:vAlign w:val="center"/>
          </w:tcPr>
          <w:p w14:paraId="00452A46" w14:textId="77777777" w:rsidR="00903F0E" w:rsidRDefault="00A5357C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78736471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人员调整、培训、数据等计划措施齐全</w:t>
            </w:r>
          </w:p>
        </w:tc>
      </w:tr>
      <w:tr w:rsidR="00903F0E" w14:paraId="5743B7B9" w14:textId="77777777">
        <w:trPr>
          <w:trHeight w:val="923"/>
        </w:trPr>
        <w:tc>
          <w:tcPr>
            <w:tcW w:w="2158" w:type="dxa"/>
            <w:vMerge w:val="restart"/>
            <w:shd w:val="clear" w:color="auto" w:fill="auto"/>
            <w:noWrap/>
            <w:vAlign w:val="center"/>
          </w:tcPr>
          <w:p w14:paraId="44514698" w14:textId="77777777" w:rsidR="00903F0E" w:rsidRDefault="00A5357C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加减分项（≤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3648" w:type="dxa"/>
            <w:shd w:val="clear" w:color="auto" w:fill="auto"/>
            <w:vAlign w:val="center"/>
          </w:tcPr>
          <w:p w14:paraId="7D0E0A1C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加分项（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分）</w:t>
            </w:r>
          </w:p>
        </w:tc>
        <w:tc>
          <w:tcPr>
            <w:tcW w:w="2842" w:type="dxa"/>
            <w:shd w:val="clear" w:color="auto" w:fill="auto"/>
            <w:noWrap/>
            <w:vAlign w:val="center"/>
          </w:tcPr>
          <w:p w14:paraId="1EA6CCA9" w14:textId="77777777" w:rsidR="00903F0E" w:rsidRDefault="00A5357C">
            <w:pPr>
              <w:widowControl/>
              <w:jc w:val="left"/>
              <w:rPr>
                <w:rFonts w:ascii="等线" w:eastAsia="等线" w:hAnsi="等线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部门（单位）受到国务院、省级、市级嘉奖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00625DF" w14:textId="77777777" w:rsidR="00903F0E" w:rsidRDefault="00903F0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 w14:paraId="06E79184" w14:textId="77777777" w:rsidR="00903F0E" w:rsidRDefault="00903F0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  <w:vAlign w:val="center"/>
          </w:tcPr>
          <w:p w14:paraId="7CC61C97" w14:textId="77777777" w:rsidR="00903F0E" w:rsidRDefault="00903F0E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</w:tr>
      <w:tr w:rsidR="00903F0E" w14:paraId="1DA524DB" w14:textId="77777777">
        <w:trPr>
          <w:trHeight w:val="600"/>
        </w:trPr>
        <w:tc>
          <w:tcPr>
            <w:tcW w:w="2158" w:type="dxa"/>
            <w:vMerge/>
            <w:vAlign w:val="center"/>
          </w:tcPr>
          <w:p w14:paraId="5BEC0700" w14:textId="77777777" w:rsidR="00903F0E" w:rsidRDefault="00903F0E">
            <w:pPr>
              <w:widowControl/>
              <w:jc w:val="left"/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14:paraId="08D58031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F2</w:t>
            </w: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减分项</w:t>
            </w:r>
          </w:p>
        </w:tc>
        <w:tc>
          <w:tcPr>
            <w:tcW w:w="2842" w:type="dxa"/>
            <w:shd w:val="clear" w:color="auto" w:fill="auto"/>
            <w:noWrap/>
            <w:vAlign w:val="center"/>
          </w:tcPr>
          <w:p w14:paraId="01A38E94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2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部门（单位）或工作人员违法违纪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7AA16EC5" w14:textId="77777777" w:rsidR="00903F0E" w:rsidRDefault="00903F0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44" w:type="dxa"/>
            <w:vAlign w:val="center"/>
          </w:tcPr>
          <w:p w14:paraId="1E2385D0" w14:textId="77777777" w:rsidR="00903F0E" w:rsidRDefault="00903F0E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3097" w:type="dxa"/>
            <w:shd w:val="clear" w:color="auto" w:fill="auto"/>
            <w:vAlign w:val="center"/>
          </w:tcPr>
          <w:p w14:paraId="53D14086" w14:textId="77777777" w:rsidR="00903F0E" w:rsidRDefault="00A5357C">
            <w:pPr>
              <w:widowControl/>
              <w:jc w:val="left"/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cs="宋体" w:hint="eastAsia"/>
                <w:color w:val="000000"/>
                <w:kern w:val="0"/>
                <w:sz w:val="24"/>
                <w:szCs w:val="24"/>
              </w:rPr>
              <w:t>酌情扣分</w:t>
            </w:r>
          </w:p>
        </w:tc>
      </w:tr>
    </w:tbl>
    <w:p w14:paraId="6383A6AB" w14:textId="77777777" w:rsidR="00903F0E" w:rsidRDefault="00903F0E"/>
    <w:sectPr w:rsidR="00903F0E" w:rsidSect="00903F0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5CFF2" w14:textId="77777777" w:rsidR="00607AA9" w:rsidRDefault="00607AA9" w:rsidP="00903F0E">
      <w:r>
        <w:separator/>
      </w:r>
    </w:p>
  </w:endnote>
  <w:endnote w:type="continuationSeparator" w:id="0">
    <w:p w14:paraId="0591E47E" w14:textId="77777777" w:rsidR="00607AA9" w:rsidRDefault="00607AA9" w:rsidP="00903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50B6F" w14:textId="77777777" w:rsidR="00903F0E" w:rsidRDefault="00903F0E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605030"/>
    </w:sdtPr>
    <w:sdtContent>
      <w:p w14:paraId="1004E7FB" w14:textId="77777777" w:rsidR="00903F0E" w:rsidRDefault="00A5357C">
        <w:pPr>
          <w:pStyle w:val="a5"/>
          <w:ind w:firstLine="360"/>
          <w:jc w:val="center"/>
        </w:pPr>
        <w:r>
          <w:rPr>
            <w:rFonts w:hint="eastAsia"/>
          </w:rPr>
          <w:t>—</w:t>
        </w:r>
        <w:r w:rsidR="00903F0E"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 w:rsidR="00903F0E">
          <w:rPr>
            <w:sz w:val="28"/>
            <w:szCs w:val="28"/>
          </w:rPr>
          <w:fldChar w:fldCharType="separate"/>
        </w:r>
        <w:r w:rsidR="00483122" w:rsidRPr="00483122">
          <w:rPr>
            <w:noProof/>
            <w:sz w:val="28"/>
            <w:szCs w:val="28"/>
            <w:lang w:val="zh-CN"/>
          </w:rPr>
          <w:t>8</w:t>
        </w:r>
        <w:r w:rsidR="00903F0E">
          <w:rPr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 w14:paraId="27444075" w14:textId="77777777" w:rsidR="00903F0E" w:rsidRDefault="00903F0E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FE8AC" w14:textId="77777777" w:rsidR="00903F0E" w:rsidRDefault="00903F0E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93061" w14:textId="77777777" w:rsidR="00607AA9" w:rsidRDefault="00607AA9" w:rsidP="00903F0E">
      <w:r>
        <w:separator/>
      </w:r>
    </w:p>
  </w:footnote>
  <w:footnote w:type="continuationSeparator" w:id="0">
    <w:p w14:paraId="235933BB" w14:textId="77777777" w:rsidR="00607AA9" w:rsidRDefault="00607AA9" w:rsidP="00903F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68E71" w14:textId="77777777" w:rsidR="00903F0E" w:rsidRDefault="00903F0E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1FEA93" w14:textId="77777777" w:rsidR="00903F0E" w:rsidRDefault="00903F0E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24A291" w14:textId="77777777" w:rsidR="00903F0E" w:rsidRDefault="00903F0E">
    <w:pPr>
      <w:pStyle w:val="a6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E7408"/>
    <w:multiLevelType w:val="singleLevel"/>
    <w:tmpl w:val="05EE7408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49557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DRlNGExYTQ0YTQ2YzE3OTc4NzNkZWNlOTdiOWUwZjcifQ=="/>
  </w:docVars>
  <w:rsids>
    <w:rsidRoot w:val="00903F0E"/>
    <w:rsid w:val="000C0CF5"/>
    <w:rsid w:val="00142A1F"/>
    <w:rsid w:val="001C3B4F"/>
    <w:rsid w:val="00363559"/>
    <w:rsid w:val="00483122"/>
    <w:rsid w:val="00607AA9"/>
    <w:rsid w:val="007200AE"/>
    <w:rsid w:val="00903F0E"/>
    <w:rsid w:val="00A40483"/>
    <w:rsid w:val="00A5357C"/>
    <w:rsid w:val="00B0727A"/>
    <w:rsid w:val="01A93FA3"/>
    <w:rsid w:val="02145195"/>
    <w:rsid w:val="02EF1E8A"/>
    <w:rsid w:val="030671D3"/>
    <w:rsid w:val="03123DCA"/>
    <w:rsid w:val="03345AEF"/>
    <w:rsid w:val="03595555"/>
    <w:rsid w:val="03B804CE"/>
    <w:rsid w:val="03C54999"/>
    <w:rsid w:val="042042C5"/>
    <w:rsid w:val="04447FB3"/>
    <w:rsid w:val="050140F6"/>
    <w:rsid w:val="0553432E"/>
    <w:rsid w:val="06510766"/>
    <w:rsid w:val="069A035E"/>
    <w:rsid w:val="06D118A6"/>
    <w:rsid w:val="0781507A"/>
    <w:rsid w:val="089332B7"/>
    <w:rsid w:val="08B35707"/>
    <w:rsid w:val="0A0362A1"/>
    <w:rsid w:val="0B187AA4"/>
    <w:rsid w:val="0B772A1C"/>
    <w:rsid w:val="0BB7550F"/>
    <w:rsid w:val="0BD240F7"/>
    <w:rsid w:val="0BE20636"/>
    <w:rsid w:val="0BE856C8"/>
    <w:rsid w:val="0C223A65"/>
    <w:rsid w:val="0C882A07"/>
    <w:rsid w:val="0D5A0848"/>
    <w:rsid w:val="0DB22432"/>
    <w:rsid w:val="0E0B7D94"/>
    <w:rsid w:val="0E9C7695"/>
    <w:rsid w:val="0FA832F0"/>
    <w:rsid w:val="0FE64614"/>
    <w:rsid w:val="115F642C"/>
    <w:rsid w:val="116F23E8"/>
    <w:rsid w:val="12154D3D"/>
    <w:rsid w:val="12F31522"/>
    <w:rsid w:val="12F86B39"/>
    <w:rsid w:val="13F07810"/>
    <w:rsid w:val="140E5EE8"/>
    <w:rsid w:val="149C7998"/>
    <w:rsid w:val="14B00D4D"/>
    <w:rsid w:val="14C842E9"/>
    <w:rsid w:val="150572EB"/>
    <w:rsid w:val="1534197E"/>
    <w:rsid w:val="1638549E"/>
    <w:rsid w:val="16DE6045"/>
    <w:rsid w:val="16FA09A5"/>
    <w:rsid w:val="17CF1E32"/>
    <w:rsid w:val="18644328"/>
    <w:rsid w:val="18AB1F57"/>
    <w:rsid w:val="18B54B84"/>
    <w:rsid w:val="19033B41"/>
    <w:rsid w:val="1912647A"/>
    <w:rsid w:val="194C017D"/>
    <w:rsid w:val="1A1F2BFD"/>
    <w:rsid w:val="1ADE294C"/>
    <w:rsid w:val="1BD25A4D"/>
    <w:rsid w:val="1BE539D2"/>
    <w:rsid w:val="1CD37CCF"/>
    <w:rsid w:val="1CEB326A"/>
    <w:rsid w:val="1CFE1F6A"/>
    <w:rsid w:val="1D6327E7"/>
    <w:rsid w:val="1D743260"/>
    <w:rsid w:val="1D9456B0"/>
    <w:rsid w:val="1F8A4FBC"/>
    <w:rsid w:val="20BF0C96"/>
    <w:rsid w:val="21425423"/>
    <w:rsid w:val="219E4D4F"/>
    <w:rsid w:val="2217065D"/>
    <w:rsid w:val="22AA14D2"/>
    <w:rsid w:val="23BF129B"/>
    <w:rsid w:val="23F956E8"/>
    <w:rsid w:val="24B475F7"/>
    <w:rsid w:val="25626093"/>
    <w:rsid w:val="25853B30"/>
    <w:rsid w:val="26AF70B6"/>
    <w:rsid w:val="27895B59"/>
    <w:rsid w:val="27BF77CD"/>
    <w:rsid w:val="283F446A"/>
    <w:rsid w:val="28722A91"/>
    <w:rsid w:val="28920A3E"/>
    <w:rsid w:val="28D56B7C"/>
    <w:rsid w:val="29BB2216"/>
    <w:rsid w:val="2B51698E"/>
    <w:rsid w:val="2C016606"/>
    <w:rsid w:val="2C302A48"/>
    <w:rsid w:val="2D9C5EBB"/>
    <w:rsid w:val="2F195A15"/>
    <w:rsid w:val="2F283EAA"/>
    <w:rsid w:val="3049057C"/>
    <w:rsid w:val="30BD3E5D"/>
    <w:rsid w:val="3115220C"/>
    <w:rsid w:val="324C7EAF"/>
    <w:rsid w:val="32EC3440"/>
    <w:rsid w:val="32F80037"/>
    <w:rsid w:val="33B2468A"/>
    <w:rsid w:val="33E52369"/>
    <w:rsid w:val="33EC194A"/>
    <w:rsid w:val="343706EB"/>
    <w:rsid w:val="35107034"/>
    <w:rsid w:val="35B77D36"/>
    <w:rsid w:val="35CD711E"/>
    <w:rsid w:val="3608233F"/>
    <w:rsid w:val="36883480"/>
    <w:rsid w:val="384855BD"/>
    <w:rsid w:val="38C01C7D"/>
    <w:rsid w:val="39111E53"/>
    <w:rsid w:val="391B682D"/>
    <w:rsid w:val="39B8407C"/>
    <w:rsid w:val="3A1E0383"/>
    <w:rsid w:val="3E1D6BA4"/>
    <w:rsid w:val="3E7C7D6E"/>
    <w:rsid w:val="3F473ED8"/>
    <w:rsid w:val="3F710F55"/>
    <w:rsid w:val="3FC01EDD"/>
    <w:rsid w:val="41087697"/>
    <w:rsid w:val="411F2BAA"/>
    <w:rsid w:val="41C71300"/>
    <w:rsid w:val="420E5181"/>
    <w:rsid w:val="42332E3A"/>
    <w:rsid w:val="4246491B"/>
    <w:rsid w:val="43D917BF"/>
    <w:rsid w:val="44676DCB"/>
    <w:rsid w:val="46331AFF"/>
    <w:rsid w:val="466B2BA2"/>
    <w:rsid w:val="466C2476"/>
    <w:rsid w:val="46DB13AA"/>
    <w:rsid w:val="474D04FA"/>
    <w:rsid w:val="475F022D"/>
    <w:rsid w:val="478907C3"/>
    <w:rsid w:val="47A73CBB"/>
    <w:rsid w:val="47F92430"/>
    <w:rsid w:val="48384D06"/>
    <w:rsid w:val="4882187E"/>
    <w:rsid w:val="48E42798"/>
    <w:rsid w:val="4982462F"/>
    <w:rsid w:val="4994297E"/>
    <w:rsid w:val="49E52C6C"/>
    <w:rsid w:val="49FF132D"/>
    <w:rsid w:val="4A372D9B"/>
    <w:rsid w:val="4A987CDE"/>
    <w:rsid w:val="4AC22FAD"/>
    <w:rsid w:val="4AC26B09"/>
    <w:rsid w:val="4BDE7972"/>
    <w:rsid w:val="4E231BDA"/>
    <w:rsid w:val="4E741C12"/>
    <w:rsid w:val="4F011302"/>
    <w:rsid w:val="4F7C5E20"/>
    <w:rsid w:val="52374280"/>
    <w:rsid w:val="52AA6800"/>
    <w:rsid w:val="52B66201"/>
    <w:rsid w:val="536C1D08"/>
    <w:rsid w:val="536F4CB6"/>
    <w:rsid w:val="53714FC7"/>
    <w:rsid w:val="53D94A0C"/>
    <w:rsid w:val="540B7773"/>
    <w:rsid w:val="547F3CBD"/>
    <w:rsid w:val="54971006"/>
    <w:rsid w:val="54C16083"/>
    <w:rsid w:val="565C42B5"/>
    <w:rsid w:val="565D3B8A"/>
    <w:rsid w:val="568B06F7"/>
    <w:rsid w:val="56903F5F"/>
    <w:rsid w:val="56A47B88"/>
    <w:rsid w:val="56D46542"/>
    <w:rsid w:val="571921A6"/>
    <w:rsid w:val="574865E8"/>
    <w:rsid w:val="574C432A"/>
    <w:rsid w:val="57727B09"/>
    <w:rsid w:val="578810DA"/>
    <w:rsid w:val="57B65C47"/>
    <w:rsid w:val="580E7831"/>
    <w:rsid w:val="582708F3"/>
    <w:rsid w:val="592B7F6F"/>
    <w:rsid w:val="599C2C1B"/>
    <w:rsid w:val="59AF294E"/>
    <w:rsid w:val="5A3572F7"/>
    <w:rsid w:val="5B6065F6"/>
    <w:rsid w:val="5BD14DFE"/>
    <w:rsid w:val="5C5F065B"/>
    <w:rsid w:val="5D3A69D3"/>
    <w:rsid w:val="5DD92690"/>
    <w:rsid w:val="5E736640"/>
    <w:rsid w:val="5F265461"/>
    <w:rsid w:val="5FB035D0"/>
    <w:rsid w:val="602D0A71"/>
    <w:rsid w:val="603718B5"/>
    <w:rsid w:val="606F1089"/>
    <w:rsid w:val="60D86C2E"/>
    <w:rsid w:val="614442C4"/>
    <w:rsid w:val="615F2EAC"/>
    <w:rsid w:val="61BD775D"/>
    <w:rsid w:val="62C05BCC"/>
    <w:rsid w:val="62E23D94"/>
    <w:rsid w:val="62EA0E9B"/>
    <w:rsid w:val="631877B6"/>
    <w:rsid w:val="6353259C"/>
    <w:rsid w:val="636B1FDC"/>
    <w:rsid w:val="637F4381"/>
    <w:rsid w:val="648A1C0B"/>
    <w:rsid w:val="658E3D60"/>
    <w:rsid w:val="65943C08"/>
    <w:rsid w:val="666A0329"/>
    <w:rsid w:val="66ED4AB6"/>
    <w:rsid w:val="67336B41"/>
    <w:rsid w:val="67C218A0"/>
    <w:rsid w:val="67D72B62"/>
    <w:rsid w:val="6817003C"/>
    <w:rsid w:val="68555008"/>
    <w:rsid w:val="686977AA"/>
    <w:rsid w:val="68AD274F"/>
    <w:rsid w:val="695A0B28"/>
    <w:rsid w:val="69635503"/>
    <w:rsid w:val="69747710"/>
    <w:rsid w:val="6A2151A2"/>
    <w:rsid w:val="6A3824EC"/>
    <w:rsid w:val="6A9040D6"/>
    <w:rsid w:val="6A9260A0"/>
    <w:rsid w:val="6A941E18"/>
    <w:rsid w:val="6AB339DA"/>
    <w:rsid w:val="6C0E79A8"/>
    <w:rsid w:val="6D0B213A"/>
    <w:rsid w:val="6D635AD2"/>
    <w:rsid w:val="6E7B3F2A"/>
    <w:rsid w:val="6E8E3022"/>
    <w:rsid w:val="6F060E0B"/>
    <w:rsid w:val="6F9957DB"/>
    <w:rsid w:val="707A1AB0"/>
    <w:rsid w:val="70B825D8"/>
    <w:rsid w:val="71C70D25"/>
    <w:rsid w:val="724C122A"/>
    <w:rsid w:val="72646574"/>
    <w:rsid w:val="72D80D10"/>
    <w:rsid w:val="7400407A"/>
    <w:rsid w:val="75B96BD7"/>
    <w:rsid w:val="76424E1E"/>
    <w:rsid w:val="76764AC8"/>
    <w:rsid w:val="76CF5F86"/>
    <w:rsid w:val="76E732D0"/>
    <w:rsid w:val="77422BFC"/>
    <w:rsid w:val="77CD4BBB"/>
    <w:rsid w:val="77E141C3"/>
    <w:rsid w:val="79450781"/>
    <w:rsid w:val="79F71A7C"/>
    <w:rsid w:val="7B193C74"/>
    <w:rsid w:val="7B5B603A"/>
    <w:rsid w:val="7B892BA7"/>
    <w:rsid w:val="7C34413F"/>
    <w:rsid w:val="7CDE6F23"/>
    <w:rsid w:val="7D715381"/>
    <w:rsid w:val="7D8A2C07"/>
    <w:rsid w:val="7DE71E07"/>
    <w:rsid w:val="7E417769"/>
    <w:rsid w:val="7E834226"/>
    <w:rsid w:val="7FA51F7A"/>
    <w:rsid w:val="7FE24F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73AF66"/>
  <w15:docId w15:val="{20890B7D-3A80-4083-B56C-8FD1CA80A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qFormat="1"/>
    <w:lsdException w:name="header" w:semiHidden="1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03F0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903F0E"/>
    <w:pPr>
      <w:ind w:firstLineChars="200" w:firstLine="420"/>
    </w:pPr>
  </w:style>
  <w:style w:type="paragraph" w:styleId="a4">
    <w:name w:val="Body Text"/>
    <w:basedOn w:val="a"/>
    <w:semiHidden/>
    <w:qFormat/>
    <w:rsid w:val="00903F0E"/>
    <w:rPr>
      <w:rFonts w:ascii="微软雅黑" w:eastAsia="微软雅黑" w:hAnsi="微软雅黑" w:cs="微软雅黑"/>
      <w:sz w:val="31"/>
      <w:szCs w:val="31"/>
      <w:lang w:eastAsia="en-US"/>
    </w:rPr>
  </w:style>
  <w:style w:type="paragraph" w:styleId="a5">
    <w:name w:val="footer"/>
    <w:basedOn w:val="a"/>
    <w:uiPriority w:val="99"/>
    <w:unhideWhenUsed/>
    <w:qFormat/>
    <w:rsid w:val="00903F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uiPriority w:val="99"/>
    <w:semiHidden/>
    <w:unhideWhenUsed/>
    <w:qFormat/>
    <w:rsid w:val="00903F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link w:val="a8"/>
    <w:rsid w:val="00B0727A"/>
    <w:rPr>
      <w:sz w:val="18"/>
      <w:szCs w:val="18"/>
    </w:rPr>
  </w:style>
  <w:style w:type="character" w:customStyle="1" w:styleId="a8">
    <w:name w:val="批注框文本 字符"/>
    <w:basedOn w:val="a0"/>
    <w:link w:val="a7"/>
    <w:rsid w:val="00B072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13</Pages>
  <Words>913</Words>
  <Characters>5210</Characters>
  <Application>Microsoft Office Word</Application>
  <DocSecurity>0</DocSecurity>
  <Lines>43</Lines>
  <Paragraphs>12</Paragraphs>
  <ScaleCrop>false</ScaleCrop>
  <Company/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10198</dc:creator>
  <cp:lastModifiedBy>Sun Yucheng</cp:lastModifiedBy>
  <cp:revision>3</cp:revision>
  <dcterms:created xsi:type="dcterms:W3CDTF">2024-06-25T01:18:00Z</dcterms:created>
  <dcterms:modified xsi:type="dcterms:W3CDTF">2025-07-22T07:04:00Z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830BA0815D194E14ACCE335687A0B5E7_12</vt:lpwstr>
  </property>
</Properties>
</file>