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8C" w:rsidRDefault="00443E8C">
      <w:pPr>
        <w:widowControl/>
        <w:spacing w:line="300" w:lineRule="auto"/>
        <w:jc w:val="center"/>
        <w:rPr>
          <w:rFonts w:ascii="Times New Roman" w:eastAsia="方正小标宋_GBK" w:hAnsi="方正小标宋_GBK"/>
          <w:sz w:val="44"/>
          <w:szCs w:val="44"/>
        </w:rPr>
      </w:pPr>
      <w:r>
        <w:rPr>
          <w:rFonts w:ascii="Times New Roman" w:eastAsia="方正小标宋_GBK" w:hAnsi="方正小标宋_GBK" w:hint="eastAsia"/>
          <w:sz w:val="44"/>
          <w:szCs w:val="44"/>
        </w:rPr>
        <w:t>202</w:t>
      </w:r>
      <w:r>
        <w:rPr>
          <w:rFonts w:ascii="Times New Roman" w:eastAsia="方正小标宋_GBK" w:hAnsi="方正小标宋_GBK"/>
          <w:sz w:val="44"/>
          <w:szCs w:val="44"/>
        </w:rPr>
        <w:t>3</w:t>
      </w:r>
      <w:r>
        <w:rPr>
          <w:rFonts w:ascii="Times New Roman" w:eastAsia="方正小标宋_GBK" w:hAnsi="方正小标宋_GBK" w:hint="eastAsia"/>
          <w:sz w:val="44"/>
          <w:szCs w:val="44"/>
        </w:rPr>
        <w:t>年度南京市城乡建设委员会</w:t>
      </w:r>
      <w:r>
        <w:rPr>
          <w:rFonts w:ascii="Times New Roman" w:eastAsia="方正小标宋_GBK" w:hAnsi="方正小标宋_GBK" w:hint="eastAsia"/>
          <w:sz w:val="44"/>
          <w:szCs w:val="44"/>
        </w:rPr>
        <w:t>--</w:t>
      </w:r>
      <w:r>
        <w:rPr>
          <w:rFonts w:ascii="Times New Roman" w:eastAsia="方正小标宋_GBK" w:hAnsi="方正小标宋_GBK" w:hint="eastAsia"/>
          <w:sz w:val="44"/>
          <w:szCs w:val="44"/>
        </w:rPr>
        <w:t>南京市燃气服务中心整体预算绩效自评价报告</w:t>
      </w:r>
    </w:p>
    <w:p w:rsidR="00443E8C" w:rsidRDefault="00443E8C">
      <w:pPr>
        <w:widowControl/>
        <w:spacing w:line="300" w:lineRule="auto"/>
        <w:ind w:firstLineChars="200" w:firstLine="640"/>
        <w:jc w:val="left"/>
        <w:rPr>
          <w:rFonts w:ascii="方正黑体_GBK" w:eastAsia="方正黑体_GBK" w:hAnsi="方正黑体_GBK"/>
          <w:color w:val="000000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一、部门（单位）概况</w:t>
      </w:r>
    </w:p>
    <w:p w:rsidR="00443E8C" w:rsidRPr="00E93D4F" w:rsidRDefault="00443E8C">
      <w:pPr>
        <w:spacing w:line="300" w:lineRule="auto"/>
        <w:ind w:firstLineChars="200" w:firstLine="640"/>
        <w:rPr>
          <w:rFonts w:ascii="方正仿宋_GBK" w:eastAsia="方正仿宋_GBK" w:hAnsi="Times New Roman" w:hint="eastAsia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（一）部门（单位）</w:t>
      </w:r>
      <w:r w:rsidRPr="00E93D4F">
        <w:rPr>
          <w:rFonts w:ascii="方正仿宋_GBK" w:eastAsia="方正仿宋_GBK" w:hAnsi="方正仿宋_GBK" w:hint="eastAsia"/>
          <w:sz w:val="32"/>
          <w:szCs w:val="32"/>
        </w:rPr>
        <w:t>基本情况</w:t>
      </w:r>
    </w:p>
    <w:p w:rsidR="00443E8C" w:rsidRPr="00E93D4F" w:rsidRDefault="00443E8C">
      <w:pPr>
        <w:widowControl/>
        <w:spacing w:line="300" w:lineRule="auto"/>
        <w:ind w:firstLineChars="200" w:firstLine="640"/>
        <w:rPr>
          <w:rFonts w:ascii="方正仿宋_GBK" w:eastAsia="方正仿宋_GBK" w:hAnsi="Times New Roman" w:hint="eastAsia"/>
          <w:sz w:val="32"/>
          <w:szCs w:val="32"/>
        </w:rPr>
      </w:pPr>
      <w:r w:rsidRPr="00E93D4F">
        <w:rPr>
          <w:rFonts w:ascii="方正仿宋_GBK" w:eastAsia="方正仿宋_GBK" w:hAnsi="Times New Roman" w:hint="eastAsia"/>
          <w:sz w:val="32"/>
          <w:szCs w:val="32"/>
        </w:rPr>
        <w:t>1</w:t>
      </w:r>
      <w:r w:rsidR="00E93D4F">
        <w:rPr>
          <w:rFonts w:ascii="方正仿宋_GBK" w:eastAsia="方正仿宋_GBK" w:hAnsi="方正仿宋_GBK" w:hint="eastAsia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sz w:val="32"/>
          <w:szCs w:val="32"/>
        </w:rPr>
        <w:t>单位组建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南京市燃气管理处于1992年9月27日经市编办(宁编字〔92〕163号)文批准成立，1993年4月15日正式挂牌运作，系自收自支的全民事业单位，经费来源为市财政补助。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自2019年度1月11日，根据《关于印发南京市城乡建设委员会所属事业单位调整方案的通知》宁编办发〔2019〕73号：将南京市燃气管理处（南京市城乡建设行政执法总队燃气执支队）更名为南京市燃气服务中心。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自2019年度8月8日，根据《关于同意市城乡建设委员会所属部分事业单位经费渠道调整的批复》宁编办复〔2019〕50号：将南京市燃气服务中心的经费来源已由原来的“自收自支”调整为“全额拨款”。</w:t>
      </w:r>
    </w:p>
    <w:p w:rsidR="00443E8C" w:rsidRPr="00E93D4F" w:rsidRDefault="00443E8C">
      <w:pPr>
        <w:widowControl/>
        <w:spacing w:line="300" w:lineRule="auto"/>
        <w:ind w:firstLineChars="200" w:firstLine="640"/>
        <w:rPr>
          <w:rFonts w:ascii="方正仿宋_GBK" w:eastAsia="方正仿宋_GBK" w:hAnsi="Times New Roman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Times New Roman" w:hint="eastAsia"/>
          <w:color w:val="000000"/>
          <w:kern w:val="0"/>
          <w:sz w:val="32"/>
          <w:szCs w:val="32"/>
        </w:rPr>
        <w:t>2</w:t>
      </w:r>
      <w:r w:rsid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职能定位</w:t>
      </w:r>
    </w:p>
    <w:p w:rsidR="00443E8C" w:rsidRPr="001B76DA" w:rsidRDefault="00443E8C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受委托或依法对全市燃气市场进行监管；承担全市燃气行业规划、法规建设、行业统计和科技信息化工作；承担全市燃气行业行政许可事项的初审工作；承担全市燃气行业安全、保供、服务等日常监管工作；开展燃气汽车推进、行业从业人员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培训及燃气市场行政执法工作；按照燃气专业规划对燃气场站、管网建设进行审核。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内设机构及人员情况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截止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2023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年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日，中心内设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6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个科室,在职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人员30人，其中调出2人，调入1人，公开招聘新进2人，退休2人，全部为事业编制，编办核定的技术和辅助类编外员额人员4人。截至2023年末退休人员9人。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</w:t>
      </w:r>
      <w:r w:rsid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资产情况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截止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2023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年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日，中心资产账面数为：资产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458.69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万元（其中流动资产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191.07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万元，占比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41.66%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；非流动资产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267.62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万元，占比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58.34%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。）、负债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177.70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万元、净资产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280.99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万元；实有数为：资产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458.69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万元、负债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177.70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万元、净资产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280.99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万元，账实一致。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5</w:t>
      </w:r>
      <w:r w:rsid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重点工作任务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根据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三定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方案，我中心的主要职责是受委托或依法对全市燃气市场进行监管；承担全市燃气行业规划、法规建设、行业统计和科技信息化工作；承担全市燃气行业行政许可事项的初审工作；承担全市燃气行业安全、保供、服务等日常监管工作；开展燃气汽车推进、行业从业人员培训及燃气市场行政执法工作；按照燃气专业规划对燃气场站、管网建设进行审核。具体包括：</w:t>
      </w:r>
    </w:p>
    <w:p w:rsidR="00443E8C" w:rsidRPr="001B76DA" w:rsidRDefault="00443E8C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一是积极推动完善燃气行业政策法规建设。（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）推进行业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法律法规建设工作。（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）开展各类行业课题研究。（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）推进营商环境优化工作。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二是扎实推动各类市政燃气设施改造建设。（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）持续推进燃气危旧管道改造工作。（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）全力推动瓶装液化气改装管道天然气工作。（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）推进燃气设施建设。（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）积极推动管液转换工作。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三是不断加大燃气行业各项监管力度。（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）坚持做好经营许可初审工作。（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）坚持做好生产经营安全监督。（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）坚持做好事后监管事项。（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）扎实推动应急抢险能力提升。（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5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）紧抓冬季日常燃气保障供应。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四是切实提升燃气行业服务能力水平。（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）积极组织开展各类行业宣传活动。（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）常态化开展行业教育考试培训活动。（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）妥善做好投诉和信访件处理。（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）协同属地部门开展业务指导。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五是坚持常态化制度化做好党建工作。（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）不断夯实党组织基础。（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）扎实开展主题教育活动。（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）强化党风廉政暨作风建设。</w:t>
      </w:r>
    </w:p>
    <w:p w:rsidR="00443E8C" w:rsidRPr="00E93D4F" w:rsidRDefault="00443E8C">
      <w:pPr>
        <w:widowControl/>
        <w:spacing w:line="300" w:lineRule="auto"/>
        <w:ind w:firstLineChars="200" w:firstLine="640"/>
        <w:rPr>
          <w:rFonts w:ascii="方正仿宋_GBK" w:eastAsia="方正仿宋_GBK" w:hAnsi="Times New Roman" w:hint="eastAsia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（二）部门（单位）收支情况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Times New Roman" w:hint="eastAsia"/>
          <w:color w:val="000000"/>
          <w:kern w:val="0"/>
          <w:sz w:val="32"/>
          <w:szCs w:val="32"/>
        </w:rPr>
        <w:t>1</w:t>
      </w:r>
      <w:r w:rsid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.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部门预算收支情况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2023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年度部门预算收入1467.30万元，其中：一般公共预算财政拨款收入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1294.85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万元，政府性基金预算财政拨款收入172.45万元；部门预算支出1467.30万元，其中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: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基本支出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1038.70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万元，项目支出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428.60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万元。</w:t>
      </w:r>
    </w:p>
    <w:p w:rsidR="00443E8C" w:rsidRPr="001B76DA" w:rsidRDefault="00443E8C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（三）部门（单位）绩效目标</w:t>
      </w:r>
    </w:p>
    <w:p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1.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中长期目标：在</w:t>
      </w:r>
      <w:r w:rsid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南京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市城乡建设委员会领导下，不断强化队伍建设，提升行业监管工作水平，全面达成燃气行业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安全、保供、服务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工作目标，并重点推进下列工作：</w:t>
      </w:r>
    </w:p>
    <w:p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(1)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继续扎实推进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瓶改管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工作。一是打好组合拳，控制好增量。进一步落实属地管理责任，会同有关部门做好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50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公斤钢瓶的禁用和新开办餐饮业的用气审批监督工作，确保各区的餐饮业瓶装气用户得到有效控制；二是研究落实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瓶改管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费用收取、补助工作。研究减少审计时间段，增加审计频次的方法来解决补助资金到位问题，提高改造速度；三是简化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瓶改管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操作流程，提高工作效率。通过整合力量，努力提高工作效率。</w:t>
      </w:r>
    </w:p>
    <w:p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(2)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进一步加强燃气监管力度。一是扎实开展各项安全检查活动，创新日常监督体制机制，督促企业强化安全意识，落实主体责任；二是推进信用体系建设，结合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智慧燃气管理平台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建设，打造燃气企业网络管理平台，实现动态网络化管理，努力推动安全监管科学化。</w:t>
      </w:r>
    </w:p>
    <w:p w:rsidR="00443E8C" w:rsidRPr="00E93D4F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</w:t>
      </w:r>
      <w:r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继续推动滨江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LNG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储配站建设。督促、配合南京港华公司加快建设滨江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LNG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储配站。</w:t>
      </w:r>
    </w:p>
    <w:p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(4)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继续开展营商环境优化工作。根据市优化营商环境相关政策要求，督促供气企业认真做好落实工作，进一步简化用气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报装流程，压缩用气报装办理时间，持续优化用气报装服务。</w:t>
      </w:r>
    </w:p>
    <w:p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(5)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深化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不见面审批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改革。积极主动配合上级主管部门做好网上审批工作的调整，理顺材料要件格式、审核、报送等环节，推动燃气权力事项网络化办理更加高效便捷。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 xml:space="preserve">  </w:t>
      </w:r>
    </w:p>
    <w:p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(6)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研究推进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“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智慧燃气监管平台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”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建设。</w:t>
      </w:r>
    </w:p>
    <w:p w:rsidR="00443E8C" w:rsidRPr="00E93D4F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(7)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继续推进两气转换工作。</w:t>
      </w:r>
    </w:p>
    <w:p w:rsidR="00443E8C" w:rsidRPr="001B76DA" w:rsidRDefault="00E93D4F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2.</w:t>
      </w:r>
      <w:r w:rsidR="00443E8C"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年度目标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(1)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继续开展燃气安全专项整治。落实三年行动任务，按照省标常态开展燃气场站、设施隐患排查，做到闭环整改，加快应急体系建设，提升应急处置能力。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(2)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继续推进智慧燃气监管平台建设。持续推进监管平台建设，优化液化气平台监管成效，拓展天然气平台监管功能，加强企业内部信息化建设，推动平台实践运用及与相关部门信息联动。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(3)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加强用户端安全用气保障。继续开展“七个一”专项行动，重点推进“安心管”、智能燃气表安装和用气安全检查等任务，做好“瓶改管”和管液转换等民生实事，做实“双网格”风险防控机制，联动属地加强用户隐患闭环整改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(4)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规范行业经营管理行为。推动《南京市瓶装液化石油气配送服务管理办法》、《南京市燃气经营者安全生产条件记分管理办法》和《南京市燃气企业和从业人员信用评价管理暂行办法》等3项法规出台，加大违规经营和第三方破坏查处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力度，进一步正规行业经营秩序。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(5)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继续夯实支部组织根基。抓实支部组织建设和内部管理，加强廉政作风建设，持续巩固作风改进成果。推动行业“蓝精宁”党建服务品牌落地生根，以点带面提升行业和社会认知度，做好行业燃气安全宣传和服务工作。</w:t>
      </w:r>
    </w:p>
    <w:p w:rsidR="00443E8C" w:rsidRDefault="00443E8C">
      <w:pPr>
        <w:widowControl/>
        <w:spacing w:line="300" w:lineRule="auto"/>
        <w:ind w:firstLineChars="200" w:firstLine="640"/>
        <w:jc w:val="left"/>
        <w:rPr>
          <w:rFonts w:ascii="方正黑体_GBK" w:eastAsia="方正黑体_GBK" w:hAnsi="方正黑体_GBK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二、评价结论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本次绩效评价依据市财政局《南京市级财政预算绩效管理办法》、《南京市市级预算绩效管理工作计划》、《南京市市级预算绩效管理结果应用暂行办法》等相关规定，紧密联系单位实际，运用评价体系及评分标准，设置了6个一级指标、24个二级指标、4</w:t>
      </w:r>
      <w:r w:rsidR="00B03942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8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个三级指标体系；同时结合单位年度工作计划、财务账表数据、部门履职情况、市级考核情况等方式，整理数据、分析汇总，对我中心部门整体绩效进行严格认真地评价。绩效综合评分9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7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分，等级为“优秀”。</w:t>
      </w:r>
    </w:p>
    <w:p w:rsidR="00443E8C" w:rsidRDefault="00443E8C">
      <w:pPr>
        <w:widowControl/>
        <w:spacing w:line="300" w:lineRule="auto"/>
        <w:ind w:firstLineChars="200" w:firstLine="640"/>
        <w:jc w:val="left"/>
        <w:rPr>
          <w:rFonts w:ascii="方正黑体_GBK" w:eastAsia="方正黑体_GBK" w:hAnsi="方正黑体_GBK"/>
          <w:color w:val="000000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三、</w:t>
      </w:r>
      <w:r>
        <w:rPr>
          <w:rFonts w:ascii="方正黑体_GBK" w:eastAsia="方正黑体_GBK" w:hAnsi="方正黑体_GBK" w:hint="eastAsia"/>
          <w:color w:val="000000"/>
          <w:kern w:val="0"/>
          <w:sz w:val="32"/>
          <w:szCs w:val="32"/>
        </w:rPr>
        <w:t>单位</w:t>
      </w: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履职成效</w:t>
      </w:r>
    </w:p>
    <w:p w:rsidR="00443E8C" w:rsidRPr="00E93D4F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2023年，中心深入贯彻落实党的二十大和主题教育精神，坚持党建引领业务发展，认真履行行业管理主责主业，筑牢燃气安全防线，扎实开展燃气安全专项整治行动，推动行业高质量发展，用心建设行业民生品牌，不断提升服务保障水平，</w:t>
      </w:r>
      <w:r w:rsidRPr="00E93D4F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圆满完成了年度工作任务。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(一)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四位一体，系统筑牢燃气安全防线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聚焦供应环节，落实企业主体责任。压紧压实供应环节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企业安全生产主体责任，在宁夏银川“6·21”特别重大燃气爆炸事故后，重点指导企业开展隐患自查整改276处；委托专家助力监管，检查燃气场站98站·次，闭环整改一般问题和隐患87处，下发责令整改通知书2份，约谈企业负责人6次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聚焦输配环节，完善硬件设施建设。积极应对城市发展需求，消除潜在燃气安全隐患，在前期改造清零全市504.7公里危旧燃气管道的基础上，23年组织行业制定老旧燃气管道改造清单和市政管道新建计划，有序推进管道工程建设。截至12月底，全市已新建市政天然气管道127.93公里（目标数100公里），更新改造老旧燃气管道187.72公里（目标数159.9公里），均超额完成计划任务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聚焦使用环节，推进“安心用气工程”。“安心用气工程”作为全市有史以来力度最大、投入最多、时间最长、覆盖面最广的燃气使用安全专项行动，中心高度重视，第一时间部署开展，整合力量全力保障推进。“安心用气工程”实施以来，联动各区、各部门建立工作周报制度，指导企业全面落实入户安检和宣传，累计完成2.38万户餐饮用户、9.84万户居民用户用气情况摸排，配合属地完成“安心用气工程”改造5.14万户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4.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聚焦管控环节，创新信息化建设应用。落实“城市生命线”和“一网统管”专项任务，大力推进智慧燃气监管平台建设应用，构筑行业智慧科学管控体系。城市生命线工程燃气专项逐步推进多维度数据治理，已接入政企数据102万余条、监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测设备数据43万余条，燃气场站视频93路，推动省级城市更新试点新街口项目监测系统进入调试阶段。智慧燃气二期监管平台完成“安心用气工程”和器具二维码等13个功能模块开发，82项预警功能完成初步设计，逐步实现行业信息化管理“全市域、全链条、全覆盖”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（二）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创新驱动，持续推动行业高质量发展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完善行业法规制度。在22年完成的《市条例》立法调研工作基础上，23年继续推进《南京市燃气管理条例》修订工作，采取实地走访、调研座谈和问卷调查等形式广泛征求意见，召开座谈会、专家论证会和公众听证会等，邀请燃气经营者、社会各界市民代表和新闻媒体记者等建言献策，认真践行全过程人民民主。12月28日，市十七届人大常委会第八次会议二审通过了《南京市燃气管理条例》。（2024年1月12日，省第十四届人民代表大会常务委员会第七次会议批准正式发布《南京市燃气管理条例》，将自 2024年5月1日起施行。）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2.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规范行业经营秩序。严格行业准入条件，规范事中事后监管。23年办理许可初审75件（其中燃气经营许可类25件、燃气燃烧器具资质许可类50件），完成22家家用燃气泄漏报警器和燃气泄漏安全保护装置售后服务站点备案，重点对主城区16家燃气经营企业经营许可条件开展检查，发现问题21处，已整改20处。强化液化气企业配送实名制管理，印发《关于深化落实瓶装液化石油气配送安全管理制度的通知》，抽查场站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15站次、钢瓶150只，立案调查11起，7名送气工被列入黑名单，配送全过程管理不断完善。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治理行业违法行为。严厉打击违法经营瓶装液化气行为，23年组织日常巡查102次，联合部门及属地街道执法34次，暂行保存钢瓶294只，重点参与全市3次较大规模打击“黑气”专项行动，开展联合执法107次，取缔黑气点、黑气车13个，暂扣钢瓶394只，首次对外地无证经营行为立案处罚。严防第三方破坏地下管线行为，联动市质安部门开展联合培训2次、巡查10次，对3起因施工破坏燃气管线行为依法实施处罚，案件数量较往年大幅下降，防范管线外破成效逐步显现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（三）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品牌引领，不断提升服务民生水平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1.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办好重点民生实事。落实“安心用气工程”和城镇燃气专项行动要求，扎实推进“安心管”和管液转换等重点民生实事，消除群众身边燃气安全隐患。“安心管”免费升级行动连续两年被列为南京市民生实事项目，23年完成了8.5万户置换任务（年度目标4万户），主城区符合条件居民用户已全部完成置换（除鼓楼区因实施“清瓶”行动暂停置换），剩余不符合条件的用户将全部转段至“安心用气工程”任务继续推进。全市燃气智能表安装51.9万只，管道液化气转换4278户（华汇康城和锦绣花园小区等多层片区实现整体管液转换），全市77户直排式热水器用户免费整改或停用，惠民举措得到群众一致称赞，服务成效被《南京日报》等多家省市官媒专题报道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lastRenderedPageBreak/>
        <w:t>2.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抓好燃气安全服务。行业“蓝精宁”品牌持续扩大影响力和号召力，服务队常态进“社区”和“商业综合体”等场所开展燃气安全教育，协同属地落实“双网格”风险防控机制，集中整治餐饮用气场所164处，重点举办第十八届“11·7燃气安全宣传周”活动，年度组织活动200余场·次，服务群众1.8万余人·次，安全宣传教育效果显著，行业“蓝精宁”被市委宣传部授予南京市强国公益品牌。</w:t>
      </w:r>
    </w:p>
    <w:p w:rsidR="00443E8C" w:rsidRPr="001B76DA" w:rsidRDefault="00E93D4F" w:rsidP="001B76DA">
      <w:pPr>
        <w:spacing w:line="300" w:lineRule="auto"/>
        <w:ind w:firstLineChars="200" w:firstLine="640"/>
        <w:rPr>
          <w:rFonts w:ascii="方正仿宋_GBK" w:eastAsia="方正仿宋_GBK" w:hAnsi="方正仿宋_GBK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3.</w:t>
      </w:r>
      <w:r w:rsidR="00443E8C"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打好优质保障基础。规范从业人员教育和资质管理，23年组织从业人员培训5次、651人参加，协助省燃协开展4期继续教育培训、262人参加，组织200名从业人员完成证书复检、28名从业人员完成证书变更。联合城建中专开展3批次共1698名送气工培训考核工作。加强行业应急队伍建设，编制《南京市城镇燃气“十四五”突发事件应急体系建设规划中期评估报告》等指导文件，督促企业开展应急演练80余·次，行业应急处置能力整体提升。</w:t>
      </w:r>
    </w:p>
    <w:p w:rsidR="00443E8C" w:rsidRDefault="00443E8C">
      <w:pPr>
        <w:widowControl/>
        <w:spacing w:line="300" w:lineRule="auto"/>
        <w:ind w:firstLineChars="200" w:firstLine="640"/>
        <w:jc w:val="left"/>
        <w:rPr>
          <w:rFonts w:ascii="方正黑体_GBK" w:eastAsia="方正黑体_GBK" w:hAnsi="方正黑体_GBK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四、存在问题及原因分析</w:t>
      </w:r>
    </w:p>
    <w:p w:rsidR="00443E8C" w:rsidRPr="001B76DA" w:rsidRDefault="00443E8C" w:rsidP="001B76DA">
      <w:pPr>
        <w:spacing w:line="300" w:lineRule="auto"/>
        <w:ind w:firstLineChars="200" w:firstLine="640"/>
        <w:rPr>
          <w:rFonts w:ascii="方正仿宋_GBK" w:eastAsia="方正仿宋_GBK" w:hAnsi="方正仿宋_GBK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一是燃气安全综合治理力度需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进一步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加强。二是行业高质量发展基础需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进一步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完善。三是行业服务民生成效需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进一步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提升。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四是党建服务品牌影响力需进一步强化。</w:t>
      </w:r>
    </w:p>
    <w:p w:rsidR="00443E8C" w:rsidRDefault="00443E8C">
      <w:pPr>
        <w:spacing w:line="300" w:lineRule="auto"/>
        <w:ind w:firstLineChars="200" w:firstLine="640"/>
        <w:rPr>
          <w:rFonts w:ascii="方正黑体_GBK" w:eastAsia="方正黑体_GBK" w:hAnsi="方正黑体_GBK"/>
          <w:color w:val="000000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t>五、有关建议</w:t>
      </w:r>
    </w:p>
    <w:p w:rsidR="00443E8C" w:rsidRDefault="00443E8C">
      <w:pPr>
        <w:widowControl/>
        <w:spacing w:line="300" w:lineRule="auto"/>
        <w:ind w:firstLineChars="200" w:firstLine="640"/>
        <w:rPr>
          <w:rFonts w:ascii="Times New Roman" w:eastAsia="方正仿宋_GBK" w:hAnsi="Times New Roman"/>
          <w:color w:val="000000"/>
          <w:sz w:val="32"/>
          <w:szCs w:val="32"/>
        </w:rPr>
      </w:pPr>
      <w:r>
        <w:rPr>
          <w:rFonts w:ascii="Times New Roman" w:eastAsia="方正仿宋_GBK" w:hAnsi="方正仿宋_GBK"/>
          <w:color w:val="000000"/>
          <w:sz w:val="32"/>
          <w:szCs w:val="32"/>
        </w:rPr>
        <w:t>建议财政多举办相关培训，进一步熟悉掌握绩效评价工作程序、方法和要求</w:t>
      </w:r>
      <w:r>
        <w:rPr>
          <w:rFonts w:ascii="Times New Roman" w:eastAsia="方正仿宋_GBK" w:hAnsi="方正仿宋_GBK" w:hint="eastAsia"/>
          <w:color w:val="000000"/>
          <w:sz w:val="32"/>
          <w:szCs w:val="32"/>
        </w:rPr>
        <w:t>，</w:t>
      </w:r>
      <w:r>
        <w:rPr>
          <w:rFonts w:ascii="Times New Roman" w:eastAsia="方正仿宋_GBK" w:hAnsi="方正仿宋_GBK"/>
          <w:color w:val="000000"/>
          <w:sz w:val="32"/>
          <w:szCs w:val="32"/>
        </w:rPr>
        <w:t>为下年度工作开展打下扎实基层。</w:t>
      </w:r>
    </w:p>
    <w:p w:rsidR="00443E8C" w:rsidRDefault="00443E8C">
      <w:pPr>
        <w:spacing w:line="300" w:lineRule="auto"/>
        <w:ind w:firstLineChars="200" w:firstLine="640"/>
        <w:rPr>
          <w:rFonts w:ascii="方正黑体_GBK" w:eastAsia="方正黑体_GBK" w:hAnsi="方正黑体_GBK"/>
          <w:color w:val="000000"/>
          <w:kern w:val="0"/>
          <w:sz w:val="32"/>
          <w:szCs w:val="32"/>
        </w:rPr>
      </w:pPr>
      <w:r>
        <w:rPr>
          <w:rFonts w:ascii="方正黑体_GBK" w:eastAsia="方正黑体_GBK" w:hAnsi="方正黑体_GBK"/>
          <w:color w:val="000000"/>
          <w:kern w:val="0"/>
          <w:sz w:val="32"/>
          <w:szCs w:val="32"/>
        </w:rPr>
        <w:lastRenderedPageBreak/>
        <w:t>六、评价工作开展情况及其他需说明的情况</w:t>
      </w:r>
    </w:p>
    <w:p w:rsidR="00443E8C" w:rsidRPr="001B76DA" w:rsidRDefault="00443E8C">
      <w:pPr>
        <w:spacing w:line="300" w:lineRule="auto"/>
        <w:ind w:firstLineChars="200" w:firstLine="640"/>
        <w:rPr>
          <w:rFonts w:ascii="方正仿宋_GBK" w:eastAsia="方正仿宋_GBK" w:hAnsi="方正仿宋_GBK"/>
          <w:color w:val="000000"/>
          <w:kern w:val="0"/>
          <w:sz w:val="32"/>
          <w:szCs w:val="32"/>
        </w:rPr>
      </w:pP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因部门整体绩效评价工作第</w:t>
      </w:r>
      <w:r w:rsidRPr="001B76DA">
        <w:rPr>
          <w:rFonts w:ascii="方正仿宋_GBK" w:eastAsia="方正仿宋_GBK" w:hAnsi="方正仿宋_GBK" w:hint="eastAsia"/>
          <w:color w:val="000000"/>
          <w:kern w:val="0"/>
          <w:sz w:val="32"/>
          <w:szCs w:val="32"/>
        </w:rPr>
        <w:t>四</w:t>
      </w:r>
      <w:r w:rsidRPr="001B76DA">
        <w:rPr>
          <w:rFonts w:ascii="方正仿宋_GBK" w:eastAsia="方正仿宋_GBK" w:hAnsi="方正仿宋_GBK"/>
          <w:color w:val="000000"/>
          <w:kern w:val="0"/>
          <w:sz w:val="32"/>
          <w:szCs w:val="32"/>
        </w:rPr>
        <w:t>年开展，工作中还存在许多不足，离工作要求还有一定差距，不足之处敬请提出宝贵意见，我们将认真加以改正。</w:t>
      </w:r>
    </w:p>
    <w:p w:rsidR="00443E8C" w:rsidRDefault="00443E8C">
      <w:pPr>
        <w:spacing w:line="300" w:lineRule="auto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</w:p>
    <w:p w:rsidR="00443E8C" w:rsidRDefault="00443E8C">
      <w:pPr>
        <w:spacing w:line="300" w:lineRule="auto"/>
        <w:ind w:firstLineChars="200" w:firstLine="640"/>
        <w:rPr>
          <w:rFonts w:ascii="Times New Roman" w:eastAsia="方正仿宋_GBK" w:hAnsi="方正仿宋_GBK"/>
          <w:color w:val="000000"/>
          <w:kern w:val="0"/>
          <w:sz w:val="32"/>
          <w:szCs w:val="32"/>
        </w:rPr>
      </w:pPr>
      <w:r>
        <w:rPr>
          <w:rFonts w:ascii="Times New Roman" w:eastAsia="方正仿宋_GBK" w:hAnsi="方正仿宋_GBK"/>
          <w:color w:val="000000"/>
          <w:kern w:val="0"/>
          <w:sz w:val="32"/>
          <w:szCs w:val="32"/>
        </w:rPr>
        <w:t>附件：</w:t>
      </w:r>
      <w:r>
        <w:rPr>
          <w:rFonts w:ascii="Times New Roman" w:eastAsia="方正仿宋_GBK" w:hAnsi="方正仿宋_GBK"/>
          <w:color w:val="000000"/>
          <w:kern w:val="0"/>
          <w:sz w:val="32"/>
          <w:szCs w:val="32"/>
        </w:rPr>
        <w:t>1.</w:t>
      </w:r>
      <w:r>
        <w:rPr>
          <w:rFonts w:ascii="Times New Roman" w:eastAsia="方正仿宋_GBK" w:hAnsi="方正仿宋_GBK"/>
          <w:color w:val="000000"/>
          <w:kern w:val="0"/>
          <w:sz w:val="32"/>
          <w:szCs w:val="32"/>
        </w:rPr>
        <w:t>市燃气服务中心</w:t>
      </w:r>
      <w:r>
        <w:rPr>
          <w:rFonts w:ascii="Times New Roman" w:eastAsia="方正仿宋_GBK" w:hAnsi="方正仿宋_GBK"/>
          <w:color w:val="000000"/>
          <w:kern w:val="0"/>
          <w:sz w:val="32"/>
          <w:szCs w:val="32"/>
        </w:rPr>
        <w:t>202</w:t>
      </w:r>
      <w:r>
        <w:rPr>
          <w:rFonts w:ascii="Times New Roman" w:eastAsia="方正仿宋_GBK" w:hAnsi="方正仿宋_GBK" w:hint="eastAsia"/>
          <w:color w:val="000000"/>
          <w:kern w:val="0"/>
          <w:sz w:val="32"/>
          <w:szCs w:val="32"/>
        </w:rPr>
        <w:t>3</w:t>
      </w:r>
      <w:r>
        <w:rPr>
          <w:rFonts w:ascii="Times New Roman" w:eastAsia="方正仿宋_GBK" w:hAnsi="方正仿宋_GBK"/>
          <w:color w:val="000000"/>
          <w:kern w:val="0"/>
          <w:sz w:val="32"/>
          <w:szCs w:val="32"/>
        </w:rPr>
        <w:t>年度部门整体绩效评价指标体系得分表</w:t>
      </w:r>
    </w:p>
    <w:p w:rsidR="00443E8C" w:rsidRDefault="00443E8C">
      <w:pPr>
        <w:pStyle w:val="a7"/>
        <w:ind w:left="1063" w:hanging="643"/>
        <w:rPr>
          <w:rFonts w:ascii="Times New Roman" w:eastAsia="方正仿宋_GBK" w:hAnsi="方正仿宋_GBK"/>
          <w:color w:val="000000"/>
          <w:kern w:val="0"/>
          <w:sz w:val="32"/>
          <w:szCs w:val="32"/>
        </w:rPr>
      </w:pPr>
    </w:p>
    <w:p w:rsidR="00443E8C" w:rsidRDefault="00443E8C"/>
    <w:p w:rsidR="00443E8C" w:rsidRDefault="00443E8C">
      <w:pPr>
        <w:spacing w:line="300" w:lineRule="auto"/>
        <w:jc w:val="right"/>
        <w:rPr>
          <w:rFonts w:ascii="Times New Roman" w:eastAsia="方正仿宋_GBK" w:hAnsi="Times New Roman" w:hint="eastAsia"/>
          <w:sz w:val="32"/>
          <w:szCs w:val="32"/>
        </w:rPr>
      </w:pPr>
      <w:r>
        <w:rPr>
          <w:rFonts w:ascii="Times New Roman" w:eastAsia="方正仿宋_GBK" w:hAnsi="Times New Roman" w:hint="eastAsia"/>
          <w:sz w:val="32"/>
          <w:szCs w:val="32"/>
        </w:rPr>
        <w:t>南京市燃气服务中心</w:t>
      </w:r>
    </w:p>
    <w:p w:rsidR="00443E8C" w:rsidRDefault="00443E8C">
      <w:pPr>
        <w:spacing w:line="300" w:lineRule="auto"/>
        <w:jc w:val="right"/>
        <w:rPr>
          <w:rFonts w:ascii="Times New Roman" w:eastAsia="方正仿宋_GBK" w:hAnsi="Times New Roman" w:hint="eastAsia"/>
          <w:sz w:val="32"/>
          <w:szCs w:val="32"/>
        </w:rPr>
        <w:sectPr w:rsidR="00443E8C">
          <w:footerReference w:type="default" r:id="rId7"/>
          <w:pgSz w:w="11906" w:h="16838"/>
          <w:pgMar w:top="2098" w:right="1588" w:bottom="1701" w:left="1588" w:header="1247" w:footer="1247" w:gutter="0"/>
          <w:cols w:space="720"/>
          <w:docGrid w:linePitch="312"/>
        </w:sectPr>
      </w:pPr>
      <w:r>
        <w:rPr>
          <w:rFonts w:ascii="Times New Roman" w:eastAsia="方正仿宋_GBK" w:hAnsi="Times New Roman" w:hint="eastAsia"/>
          <w:sz w:val="32"/>
          <w:szCs w:val="32"/>
        </w:rPr>
        <w:t>2024</w:t>
      </w:r>
      <w:r>
        <w:rPr>
          <w:rFonts w:ascii="Times New Roman" w:eastAsia="方正仿宋_GBK" w:hAnsi="Times New Roman" w:hint="eastAsia"/>
          <w:sz w:val="32"/>
          <w:szCs w:val="32"/>
        </w:rPr>
        <w:t>年</w:t>
      </w:r>
      <w:r>
        <w:rPr>
          <w:rFonts w:ascii="Times New Roman" w:eastAsia="方正仿宋_GBK" w:hAnsi="Times New Roman" w:hint="eastAsia"/>
          <w:sz w:val="32"/>
          <w:szCs w:val="32"/>
        </w:rPr>
        <w:t>6</w:t>
      </w:r>
      <w:r>
        <w:rPr>
          <w:rFonts w:ascii="Times New Roman" w:eastAsia="方正仿宋_GBK" w:hAnsi="Times New Roman" w:hint="eastAsia"/>
          <w:sz w:val="32"/>
          <w:szCs w:val="32"/>
        </w:rPr>
        <w:t>月</w:t>
      </w:r>
      <w:r>
        <w:rPr>
          <w:rFonts w:ascii="Times New Roman" w:eastAsia="方正仿宋_GBK" w:hAnsi="Times New Roman" w:hint="eastAsia"/>
          <w:sz w:val="32"/>
          <w:szCs w:val="32"/>
        </w:rPr>
        <w:t>25</w:t>
      </w:r>
      <w:r>
        <w:rPr>
          <w:rFonts w:ascii="Times New Roman" w:eastAsia="方正仿宋_GBK" w:hAnsi="Times New Roman" w:hint="eastAsia"/>
          <w:sz w:val="32"/>
          <w:szCs w:val="32"/>
        </w:rPr>
        <w:t>日</w:t>
      </w:r>
    </w:p>
    <w:p w:rsidR="00443E8C" w:rsidRDefault="00443E8C">
      <w:pPr>
        <w:ind w:firstLineChars="71" w:firstLine="149"/>
        <w:rPr>
          <w:rFonts w:ascii="Times New Roman" w:eastAsia="方正仿宋_GBK" w:hAnsi="Times New Roman"/>
          <w:szCs w:val="21"/>
        </w:rPr>
      </w:pPr>
      <w:r>
        <w:rPr>
          <w:rFonts w:ascii="Times New Roman" w:eastAsia="方正仿宋_GBK" w:hAnsi="Times New Roman"/>
          <w:szCs w:val="21"/>
        </w:rPr>
        <w:lastRenderedPageBreak/>
        <w:t>附件</w:t>
      </w:r>
      <w:r>
        <w:rPr>
          <w:rFonts w:ascii="Times New Roman" w:eastAsia="方正仿宋_GBK" w:hAnsi="Times New Roman"/>
          <w:szCs w:val="21"/>
        </w:rPr>
        <w:t>1</w:t>
      </w:r>
      <w:r>
        <w:rPr>
          <w:rFonts w:ascii="Times New Roman" w:eastAsia="方正仿宋_GBK" w:hAnsi="Times New Roman"/>
          <w:szCs w:val="21"/>
        </w:rPr>
        <w:t>：市燃气服务中心</w:t>
      </w:r>
      <w:r>
        <w:rPr>
          <w:rFonts w:ascii="Times New Roman" w:eastAsia="方正仿宋_GBK" w:hAnsi="Times New Roman"/>
          <w:szCs w:val="21"/>
        </w:rPr>
        <w:t>202</w:t>
      </w:r>
      <w:r>
        <w:rPr>
          <w:rFonts w:ascii="Times New Roman" w:eastAsia="方正仿宋_GBK" w:hAnsi="Times New Roman" w:hint="eastAsia"/>
          <w:szCs w:val="21"/>
        </w:rPr>
        <w:t>3</w:t>
      </w:r>
      <w:r>
        <w:rPr>
          <w:rFonts w:ascii="Times New Roman" w:eastAsia="方正仿宋_GBK" w:hAnsi="Times New Roman"/>
          <w:szCs w:val="21"/>
        </w:rPr>
        <w:t>年度部门整体绩效评价指标体系得分表</w:t>
      </w:r>
    </w:p>
    <w:p w:rsidR="00443E8C" w:rsidRDefault="00443E8C">
      <w:pPr>
        <w:ind w:firstLine="560"/>
        <w:rPr>
          <w:rFonts w:ascii="Times New Roman" w:eastAsia="方正仿宋_GBK" w:hAnsi="Times New Roman"/>
          <w:sz w:val="24"/>
          <w:szCs w:val="24"/>
        </w:rPr>
        <w:sectPr w:rsidR="00443E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474" w:right="1247" w:bottom="1418" w:left="1247" w:header="851" w:footer="992" w:gutter="0"/>
          <w:cols w:space="720"/>
          <w:docGrid w:type="lines" w:linePitch="381"/>
        </w:sectPr>
      </w:pPr>
    </w:p>
    <w:tbl>
      <w:tblPr>
        <w:tblW w:w="0" w:type="auto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/>
      </w:tblPr>
      <w:tblGrid>
        <w:gridCol w:w="2268"/>
        <w:gridCol w:w="3254"/>
        <w:gridCol w:w="3828"/>
        <w:gridCol w:w="850"/>
        <w:gridCol w:w="850"/>
        <w:gridCol w:w="3260"/>
      </w:tblGrid>
      <w:tr w:rsidR="00443E8C">
        <w:trPr>
          <w:trHeight w:val="600"/>
          <w:tblHeader/>
        </w:trPr>
        <w:tc>
          <w:tcPr>
            <w:tcW w:w="2268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lastRenderedPageBreak/>
              <w:t>一级指标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t>权重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</w:tr>
      <w:tr w:rsidR="00443E8C">
        <w:trPr>
          <w:trHeight w:val="600"/>
        </w:trPr>
        <w:tc>
          <w:tcPr>
            <w:tcW w:w="2268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部门决策（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决策机制（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A11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决策制度的规范性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是否建立决策制度，决策制度是否科学可行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A12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决策流程的科学性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决策流程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设计是否依据充分，是否规范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A13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决策执行监督制衡机制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是否建立监督机制，监督机制是否有效执行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中长期规划（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A21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中长期规划明确性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是否具有明确的中长期规划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A22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中长期规划与部门职能的匹配性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中长期规划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与部门职能匹配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年度工作计划（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A31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年度工作计划明确性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是否具有明确的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年度工作计划明确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A32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年度工作计划与部门职能的匹配性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年度工作计划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与部门职能匹配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部门预算编制（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A41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预算编制科学规范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预算编制是否有相应的文件保障，流程设计是否科学规范，执行是否有效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A42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预算编制与重点工作任务的匹配性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预算编制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与重点工作匹配</w:t>
            </w:r>
          </w:p>
        </w:tc>
      </w:tr>
      <w:tr w:rsidR="00443E8C">
        <w:trPr>
          <w:trHeight w:val="600"/>
        </w:trPr>
        <w:tc>
          <w:tcPr>
            <w:tcW w:w="2268" w:type="dxa"/>
            <w:vMerge w:val="restart"/>
            <w:noWrap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部门管理（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预算执行（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B11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部门预算执行率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执行率是否达标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B12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专项资金执行率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专项资金执行进度情况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B13“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三公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经费控制率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三公经费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是否超支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B14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预决算信息公开情况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是否在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双平台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进行公开，内容和时限是否符合要求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收支管理（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B21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收支管理制度健全性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收支管理制度健全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B22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收支管理是否按制度执行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是否严格按照制度执行收支管理各项工作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资产管理（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B31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资产管理制度健全性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资产管理制度健全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B32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资产管理是否按制度执行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资产管理按制度执行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政府采购管理（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B41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政府采购管理制度健全性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政府采购管理制度健全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B42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政府采购管理是否按制度执行</w:t>
            </w:r>
          </w:p>
        </w:tc>
        <w:tc>
          <w:tcPr>
            <w:tcW w:w="850" w:type="dxa"/>
            <w:tcBorders>
              <w:bottom w:val="single" w:sz="8" w:space="0" w:color="auto"/>
            </w:tcBorders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bottom w:val="single" w:sz="8" w:space="0" w:color="auto"/>
            </w:tcBorders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政府采购按制度执行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443E8C" w:rsidP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 w:rsidR="00B03942"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内部控制管理（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51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内部控制建设情况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是否有内部控制制度落实在手册等文本上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52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内部控制执行情况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是否按制度执行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B03942" w:rsidP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53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内部控制监督评价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内控监督评价开展情况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6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预算绩效管理（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 w:rsidP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 w:rsidR="00B03942"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61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组织管理情况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考察是否有预决算制度和岗位职责分配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62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工作开展情况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通过考察预算执行进度评价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B03942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63</w:t>
            </w:r>
            <w:r w:rsidR="00443E8C"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绩效信息公开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是否在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双平台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进行公开，内容和时限是否符合要求</w:t>
            </w:r>
          </w:p>
        </w:tc>
      </w:tr>
      <w:tr w:rsidR="00443E8C">
        <w:trPr>
          <w:trHeight w:val="600"/>
        </w:trPr>
        <w:tc>
          <w:tcPr>
            <w:tcW w:w="2268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部门履职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部门职能履职情况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积极推动完善燃气行业政策法规建设（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C11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年度工作任务计划是否完成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市建委确定的目标任务完成情况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C12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年度工作任务计划完成质量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市建委确定的目标任务完成质量是否达标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C13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年度工作任务计划完成时效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市建委确定的目标任务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扎实推动各类市政燃气设施改造建设（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C21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年度工作任务计划是否完成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市建委确定的目标任务完成情况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C22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年度工作任务计划完成质量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市建委确定的目标任务完成质量是否达标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C23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年度工作任务计划完成时效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市建委确定的目标任务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不断加大燃气行业各项监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管力度（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C31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年度精细化推进任务是否完成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市建委确定的目标任务完成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情况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C32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年度精细化推进任务完成质量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C33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年度精细化推进任务完成时效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切实提升燃气行业服务能力水平（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C41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年度工作任务计划是否完成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市建委确定的目标任务完成情况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C42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年度工作任务计划完成时效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坚持常态化制度化做好党建工作（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C51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年度工作任务计划是否完成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市建委确定的目标任务完成情况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C52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年度工作任务计划完成质量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C53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年度工作任务计划完成时效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443E8C">
        <w:trPr>
          <w:trHeight w:val="600"/>
        </w:trPr>
        <w:tc>
          <w:tcPr>
            <w:tcW w:w="2268" w:type="dxa"/>
            <w:vMerge w:val="restart"/>
            <w:noWrap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D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履职绩效（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D1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经济效益（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推进燃气设施建设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新建各类燃气管道、燃气储配站等基础设施，发展天然气用户等。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D2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社会效益（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安全生产环境好转，营商环境优化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推动危旧燃气管道改造；督促安全隐患整改；落实企业审批流程简化等情况。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D3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生态效益（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提升清洁气源覆盖面、施工环境保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护等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推动管液转化；严格施工现场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lastRenderedPageBreak/>
              <w:t>文明规范执行等情况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D4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满意度（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投诉和信访件处理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接听群众举报投诉电话，处理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12345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工单及信访件情况。</w:t>
            </w:r>
          </w:p>
        </w:tc>
      </w:tr>
      <w:tr w:rsidR="00443E8C">
        <w:trPr>
          <w:trHeight w:val="600"/>
        </w:trPr>
        <w:tc>
          <w:tcPr>
            <w:tcW w:w="2268" w:type="dxa"/>
            <w:vMerge w:val="restart"/>
            <w:noWrap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可持续发展能力（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E1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信息化建设情况（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通过单位的信息系统实现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E2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人力资源建设情况（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noWrap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单位人才培养计划、人才选拔运用、激励措施等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260" w:type="dxa"/>
            <w:noWrap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人员调整、培训、数据等计划措施齐全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E3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部门创新情况（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828" w:type="dxa"/>
            <w:noWrap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研究推进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“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智慧燃气监管平台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”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建设</w:t>
            </w:r>
          </w:p>
        </w:tc>
        <w:tc>
          <w:tcPr>
            <w:tcW w:w="850" w:type="dxa"/>
            <w:noWrap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260" w:type="dxa"/>
            <w:noWrap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改革成果推广</w:t>
            </w:r>
          </w:p>
        </w:tc>
      </w:tr>
      <w:tr w:rsidR="00443E8C">
        <w:trPr>
          <w:trHeight w:val="923"/>
        </w:trPr>
        <w:tc>
          <w:tcPr>
            <w:tcW w:w="2268" w:type="dxa"/>
            <w:vMerge w:val="restart"/>
            <w:noWrap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加减分项（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≤5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F1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加分项</w:t>
            </w:r>
          </w:p>
        </w:tc>
        <w:tc>
          <w:tcPr>
            <w:tcW w:w="3828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部门（单位）受到省级、市级嘉奖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得到市级考核一等奖加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 w:rsidR="00443E8C">
        <w:trPr>
          <w:trHeight w:val="600"/>
        </w:trPr>
        <w:tc>
          <w:tcPr>
            <w:tcW w:w="2268" w:type="dxa"/>
            <w:vMerge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F2</w:t>
            </w: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减分项</w:t>
            </w:r>
          </w:p>
        </w:tc>
        <w:tc>
          <w:tcPr>
            <w:tcW w:w="3828" w:type="dxa"/>
            <w:noWrap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850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43E8C" w:rsidRDefault="00443E8C">
            <w:pPr>
              <w:widowControl/>
              <w:jc w:val="center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443E8C" w:rsidRDefault="00443E8C">
            <w:pPr>
              <w:widowControl/>
              <w:jc w:val="left"/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方正仿宋_GBK" w:hAnsi="Times New Roman"/>
                <w:color w:val="000000"/>
                <w:kern w:val="0"/>
                <w:sz w:val="24"/>
                <w:szCs w:val="24"/>
              </w:rPr>
              <w:t>酌情扣分</w:t>
            </w:r>
          </w:p>
        </w:tc>
      </w:tr>
    </w:tbl>
    <w:p w:rsidR="00443E8C" w:rsidRDefault="00443E8C">
      <w:pPr>
        <w:rPr>
          <w:rFonts w:ascii="方正仿宋_GBK" w:eastAsia="方正仿宋_GBK" w:hAnsi="方正仿宋_GBK" w:cs="方正仿宋_GBK" w:hint="eastAsia"/>
        </w:rPr>
      </w:pPr>
    </w:p>
    <w:p w:rsidR="00443E8C" w:rsidRDefault="00443E8C">
      <w:pPr>
        <w:spacing w:line="300" w:lineRule="auto"/>
        <w:jc w:val="right"/>
        <w:rPr>
          <w:rFonts w:ascii="方正仿宋_GBK" w:eastAsia="方正仿宋_GBK" w:hAnsi="方正仿宋_GBK" w:cs="方正仿宋_GBK" w:hint="eastAsia"/>
          <w:sz w:val="32"/>
          <w:szCs w:val="32"/>
        </w:rPr>
      </w:pPr>
    </w:p>
    <w:sectPr w:rsidR="00443E8C">
      <w:type w:val="continuous"/>
      <w:pgSz w:w="16838" w:h="11906" w:orient="landscape"/>
      <w:pgMar w:top="1474" w:right="1247" w:bottom="1417" w:left="1247" w:header="851" w:footer="992" w:gutter="0"/>
      <w:cols w:space="720"/>
      <w:docGrid w:type="lines"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270" w:rsidRDefault="000C7270">
      <w:r>
        <w:separator/>
      </w:r>
    </w:p>
  </w:endnote>
  <w:endnote w:type="continuationSeparator" w:id="1">
    <w:p w:rsidR="000C7270" w:rsidRDefault="000C7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E8C" w:rsidRDefault="00443E8C">
    <w:pPr>
      <w:pStyle w:val="a5"/>
      <w:jc w:val="center"/>
    </w:pPr>
    <w:r>
      <w:rPr>
        <w:rFonts w:hint="eastAsia"/>
      </w:rPr>
      <w:t>—</w:t>
    </w:r>
    <w:r>
      <w:rPr>
        <w:rFonts w:ascii="Times New Roman" w:hAnsi="Times New Roman"/>
        <w:b/>
        <w:sz w:val="28"/>
        <w:szCs w:val="28"/>
      </w:rPr>
      <w:fldChar w:fldCharType="begin"/>
    </w:r>
    <w:r>
      <w:rPr>
        <w:rFonts w:ascii="Times New Roman" w:hAnsi="Times New Roman"/>
        <w:b/>
        <w:sz w:val="28"/>
        <w:szCs w:val="28"/>
      </w:rPr>
      <w:instrText xml:space="preserve"> PAGE   \* MERGEFORMAT </w:instrText>
    </w:r>
    <w:r>
      <w:rPr>
        <w:rFonts w:ascii="Times New Roman" w:hAnsi="Times New Roman"/>
        <w:b/>
        <w:sz w:val="28"/>
        <w:szCs w:val="28"/>
      </w:rPr>
      <w:fldChar w:fldCharType="separate"/>
    </w:r>
    <w:r w:rsidR="00556853" w:rsidRPr="00556853">
      <w:rPr>
        <w:rFonts w:ascii="Times New Roman" w:hAnsi="Times New Roman"/>
        <w:b/>
        <w:noProof/>
        <w:sz w:val="28"/>
        <w:szCs w:val="28"/>
        <w:lang w:val="zh-CN" w:eastAsia="zh-CN"/>
      </w:rPr>
      <w:t>11</w:t>
    </w:r>
    <w:r>
      <w:rPr>
        <w:rFonts w:ascii="Times New Roman" w:hAnsi="Times New Roman"/>
        <w:b/>
        <w:sz w:val="28"/>
        <w:szCs w:val="28"/>
      </w:rPr>
      <w:fldChar w:fldCharType="end"/>
    </w:r>
    <w:r>
      <w:rPr>
        <w:rFonts w:hint="eastAsia"/>
      </w:rPr>
      <w:t>—</w:t>
    </w:r>
  </w:p>
  <w:p w:rsidR="00443E8C" w:rsidRDefault="00443E8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E8C" w:rsidRDefault="00443E8C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E8C" w:rsidRDefault="00443E8C">
    <w:pPr>
      <w:pStyle w:val="a5"/>
      <w:ind w:firstLine="360"/>
      <w:jc w:val="center"/>
    </w:pPr>
    <w:r>
      <w:rPr>
        <w:rFonts w:hint="eastAsia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556853" w:rsidRPr="00556853">
      <w:rPr>
        <w:noProof/>
        <w:sz w:val="28"/>
        <w:szCs w:val="28"/>
        <w:lang w:val="zh-CN" w:eastAsia="zh-CN"/>
      </w:rPr>
      <w:t>16</w:t>
    </w:r>
    <w:r>
      <w:rPr>
        <w:sz w:val="28"/>
        <w:szCs w:val="28"/>
      </w:rPr>
      <w:fldChar w:fldCharType="end"/>
    </w:r>
    <w:r>
      <w:rPr>
        <w:rFonts w:hint="eastAsia"/>
      </w:rPr>
      <w:t>—</w:t>
    </w:r>
  </w:p>
  <w:p w:rsidR="00443E8C" w:rsidRDefault="00443E8C">
    <w:pPr>
      <w:pStyle w:val="a5"/>
      <w:ind w:firstLine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E8C" w:rsidRDefault="00443E8C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270" w:rsidRDefault="000C7270">
      <w:r>
        <w:separator/>
      </w:r>
    </w:p>
  </w:footnote>
  <w:footnote w:type="continuationSeparator" w:id="1">
    <w:p w:rsidR="000C7270" w:rsidRDefault="000C72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E8C" w:rsidRDefault="00443E8C">
    <w:pPr>
      <w:pStyle w:val="a6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E8C" w:rsidRDefault="00443E8C">
    <w:pPr>
      <w:ind w:firstLine="5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E8C" w:rsidRDefault="00443E8C">
    <w:pPr>
      <w:pStyle w:val="a6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bordersDoNotSurroundHeader/>
  <w:bordersDoNotSurroundFooter/>
  <w:defaultTabStop w:val="420"/>
  <w:drawingGridHorizontalSpacing w:val="210"/>
  <w:drawingGridVerticalSpacing w:val="156"/>
  <w:displayVerticalDrawingGridEvery w:val="2"/>
  <w:characterSpacingControl w:val="compressPunctuation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JhNGJjZWZlMjRjODA2YjNmY2ZlNWExYzQ0NWY4ZjQifQ=="/>
  </w:docVars>
  <w:rsids>
    <w:rsidRoot w:val="00223195"/>
    <w:rsid w:val="00010288"/>
    <w:rsid w:val="000173BA"/>
    <w:rsid w:val="000275AD"/>
    <w:rsid w:val="00033ED4"/>
    <w:rsid w:val="000365D7"/>
    <w:rsid w:val="000870ED"/>
    <w:rsid w:val="000A2544"/>
    <w:rsid w:val="000C7270"/>
    <w:rsid w:val="001B76DA"/>
    <w:rsid w:val="00223195"/>
    <w:rsid w:val="002554BF"/>
    <w:rsid w:val="00255808"/>
    <w:rsid w:val="00293325"/>
    <w:rsid w:val="002B39F8"/>
    <w:rsid w:val="002F0837"/>
    <w:rsid w:val="00356166"/>
    <w:rsid w:val="003A474C"/>
    <w:rsid w:val="003A5819"/>
    <w:rsid w:val="003E221D"/>
    <w:rsid w:val="0040106D"/>
    <w:rsid w:val="00421853"/>
    <w:rsid w:val="004325A6"/>
    <w:rsid w:val="00443E8C"/>
    <w:rsid w:val="00485A98"/>
    <w:rsid w:val="004D2091"/>
    <w:rsid w:val="004D413C"/>
    <w:rsid w:val="00541A22"/>
    <w:rsid w:val="00547BCC"/>
    <w:rsid w:val="00556853"/>
    <w:rsid w:val="005C6C04"/>
    <w:rsid w:val="00603FA4"/>
    <w:rsid w:val="00635BDC"/>
    <w:rsid w:val="006456B7"/>
    <w:rsid w:val="006D032B"/>
    <w:rsid w:val="006F3AE0"/>
    <w:rsid w:val="0070284A"/>
    <w:rsid w:val="00711786"/>
    <w:rsid w:val="00813CDF"/>
    <w:rsid w:val="00831468"/>
    <w:rsid w:val="00885521"/>
    <w:rsid w:val="008D4872"/>
    <w:rsid w:val="0090620A"/>
    <w:rsid w:val="00941C8F"/>
    <w:rsid w:val="009E4221"/>
    <w:rsid w:val="00A01CDA"/>
    <w:rsid w:val="00A55FB2"/>
    <w:rsid w:val="00A61BE6"/>
    <w:rsid w:val="00AC1407"/>
    <w:rsid w:val="00AE1279"/>
    <w:rsid w:val="00B03942"/>
    <w:rsid w:val="00B6390D"/>
    <w:rsid w:val="00BB1407"/>
    <w:rsid w:val="00BB4E76"/>
    <w:rsid w:val="00BF2F53"/>
    <w:rsid w:val="00C63E6F"/>
    <w:rsid w:val="00CD5DEE"/>
    <w:rsid w:val="00D54464"/>
    <w:rsid w:val="00E93D4F"/>
    <w:rsid w:val="00E95334"/>
    <w:rsid w:val="00EB0E57"/>
    <w:rsid w:val="00EF0744"/>
    <w:rsid w:val="00F73342"/>
    <w:rsid w:val="00F839E2"/>
    <w:rsid w:val="0492546E"/>
    <w:rsid w:val="054D4BA3"/>
    <w:rsid w:val="08E45CFE"/>
    <w:rsid w:val="0BAC111B"/>
    <w:rsid w:val="0F574BD2"/>
    <w:rsid w:val="13F04B40"/>
    <w:rsid w:val="154D2A40"/>
    <w:rsid w:val="19550C9E"/>
    <w:rsid w:val="19B9867B"/>
    <w:rsid w:val="1AEF0848"/>
    <w:rsid w:val="1C273F78"/>
    <w:rsid w:val="22F9327E"/>
    <w:rsid w:val="23B35C80"/>
    <w:rsid w:val="26C30DB4"/>
    <w:rsid w:val="29665ED3"/>
    <w:rsid w:val="2DAB3C94"/>
    <w:rsid w:val="2EC622A9"/>
    <w:rsid w:val="318312B7"/>
    <w:rsid w:val="34562DA0"/>
    <w:rsid w:val="34FA616D"/>
    <w:rsid w:val="37E8233C"/>
    <w:rsid w:val="3B7F21FB"/>
    <w:rsid w:val="3FBF35A2"/>
    <w:rsid w:val="43941706"/>
    <w:rsid w:val="4CFF7982"/>
    <w:rsid w:val="4D755501"/>
    <w:rsid w:val="595F4EF3"/>
    <w:rsid w:val="5B220A7F"/>
    <w:rsid w:val="5D420806"/>
    <w:rsid w:val="65E72B10"/>
    <w:rsid w:val="6DAD2E4F"/>
    <w:rsid w:val="6F145AEC"/>
    <w:rsid w:val="74415E14"/>
    <w:rsid w:val="76A446E6"/>
    <w:rsid w:val="76F15449"/>
    <w:rsid w:val="7A970639"/>
    <w:rsid w:val="B2F32AB0"/>
    <w:rsid w:val="BB7F6BBE"/>
    <w:rsid w:val="EBF38D2D"/>
    <w:rsid w:val="F7FF832B"/>
    <w:rsid w:val="FFBFA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uiPriority="0"/>
    <w:lsdException w:name="header" w:semiHidden="0"/>
    <w:lsdException w:name="footer" w:semiHidden="0"/>
    <w:lsdException w:name="caption" w:uiPriority="35" w:qFormat="1"/>
    <w:lsdException w:name="table of figures" w:semiHidden="0" w:qFormat="1"/>
    <w:lsdException w:name="Title" w:semiHidden="0" w:uiPriority="10" w:unhideWhenUsed="0" w:qFormat="1"/>
    <w:lsdException w:name="Default Paragraph Font" w:semiHidden="0" w:uiPriority="1"/>
    <w:lsdException w:name="Body Text" w:semiHidden="0" w:uiPriority="0" w:unhideWhenUsed="0" w:qFormat="1"/>
    <w:lsdException w:name="Subtitle" w:semiHidden="0" w:uiPriority="11" w:unhideWhenUsed="0" w:qFormat="1"/>
    <w:lsdException w:name="Body Text First Indent 2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nhideWhenUsed/>
    <w:pPr>
      <w:jc w:val="left"/>
    </w:pPr>
    <w:rPr>
      <w:kern w:val="0"/>
      <w:sz w:val="20"/>
      <w:szCs w:val="20"/>
      <w:lang/>
    </w:rPr>
  </w:style>
  <w:style w:type="character" w:customStyle="1" w:styleId="Char">
    <w:name w:val="批注文字 Char"/>
    <w:link w:val="a3"/>
    <w:rPr>
      <w:rFonts w:ascii="Calibri" w:eastAsia="宋体" w:hAnsi="Calibri" w:cs="Times New Roman"/>
    </w:rPr>
  </w:style>
  <w:style w:type="paragraph" w:styleId="a4">
    <w:name w:val="Body Text"/>
    <w:basedOn w:val="a"/>
    <w:qFormat/>
    <w:pPr>
      <w:spacing w:after="120"/>
    </w:pPr>
  </w:style>
  <w:style w:type="paragraph" w:styleId="a5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/>
    </w:rPr>
  </w:style>
  <w:style w:type="character" w:customStyle="1" w:styleId="Char0">
    <w:name w:val="页脚 Char"/>
    <w:link w:val="a5"/>
    <w:uiPriority w:val="99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/>
    </w:rPr>
  </w:style>
  <w:style w:type="character" w:customStyle="1" w:styleId="Char1">
    <w:name w:val="页眉 Char"/>
    <w:link w:val="a6"/>
    <w:uiPriority w:val="99"/>
    <w:semiHidden/>
    <w:rPr>
      <w:sz w:val="18"/>
      <w:szCs w:val="18"/>
    </w:rPr>
  </w:style>
  <w:style w:type="paragraph" w:styleId="a7">
    <w:name w:val="table of figures"/>
    <w:basedOn w:val="a"/>
    <w:next w:val="a"/>
    <w:uiPriority w:val="99"/>
    <w:unhideWhenUsed/>
    <w:qFormat/>
    <w:pPr>
      <w:keepNext/>
      <w:spacing w:line="360" w:lineRule="auto"/>
      <w:ind w:leftChars="200" w:left="200" w:hangingChars="200" w:hanging="200"/>
      <w:jc w:val="center"/>
    </w:pPr>
    <w:rPr>
      <w:b/>
    </w:rPr>
  </w:style>
  <w:style w:type="paragraph" w:styleId="2">
    <w:name w:val="Body Text First Indent 2"/>
    <w:basedOn w:val="a4"/>
    <w:next w:val="a7"/>
    <w:uiPriority w:val="99"/>
    <w:unhideWhenUsed/>
    <w:qFormat/>
    <w:pPr>
      <w:ind w:firstLine="42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272CF9F-8E96-4A74-88BE-2652EA8F4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1148</Words>
  <Characters>6548</Characters>
  <Application>Microsoft Office Word</Application>
  <DocSecurity>0</DocSecurity>
  <Lines>54</Lines>
  <Paragraphs>15</Paragraphs>
  <ScaleCrop>false</ScaleCrop>
  <Company/>
  <LinksUpToDate>false</LinksUpToDate>
  <CharactersWithSpaces>7681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2</cp:revision>
  <cp:lastPrinted>2020-08-12T00:43:00Z</cp:lastPrinted>
  <dcterms:created xsi:type="dcterms:W3CDTF">2024-09-13T01:40:00Z</dcterms:created>
  <dcterms:modified xsi:type="dcterms:W3CDTF">2024-09-13T01:40:00Z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2052-6.8.2.8850</vt:lpwstr>
  </property>
  <property fmtid="{D5CDD505-2E9C-101B-9397-08002B2CF9AE}" pid="3" name="ICV">
    <vt:lpwstr>DED0F5FAE1980C1E1A7E7966C2DA40E4_43</vt:lpwstr>
  </property>
</Properties>
</file>