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864" w:rsidRDefault="00897864">
      <w:pPr>
        <w:spacing w:line="600" w:lineRule="auto"/>
        <w:jc w:val="left"/>
        <w:rPr>
          <w:rFonts w:ascii="Times New Roman" w:eastAsia="方正小标宋_GBK" w:hAnsi="Times New Roman" w:cs="Times New Roman"/>
          <w:sz w:val="36"/>
          <w:szCs w:val="36"/>
        </w:rPr>
      </w:pPr>
    </w:p>
    <w:p w:rsidR="00897864" w:rsidRDefault="002F74FC">
      <w:pPr>
        <w:jc w:val="center"/>
        <w:rPr>
          <w:rFonts w:ascii="Times New Roman" w:eastAsia="方正小标宋_GBK" w:hAnsi="Times New Roman" w:cs="Times New Roman"/>
          <w:sz w:val="36"/>
          <w:szCs w:val="36"/>
        </w:rPr>
      </w:pPr>
      <w:r>
        <w:rPr>
          <w:rFonts w:ascii="Times New Roman" w:eastAsia="方正小标宋_GBK" w:hAnsi="Times New Roman" w:cs="Times New Roman"/>
          <w:sz w:val="36"/>
          <w:szCs w:val="36"/>
        </w:rPr>
        <w:t>2023</w:t>
      </w:r>
      <w:r>
        <w:rPr>
          <w:rFonts w:ascii="Times New Roman" w:eastAsia="方正小标宋_GBK" w:hAnsi="Times New Roman" w:cs="Times New Roman"/>
          <w:sz w:val="36"/>
          <w:szCs w:val="36"/>
        </w:rPr>
        <w:t>年度南京市城乡建设委员会南京市政府采购</w:t>
      </w:r>
    </w:p>
    <w:p w:rsidR="00897864" w:rsidRDefault="002F74FC">
      <w:pPr>
        <w:jc w:val="center"/>
        <w:rPr>
          <w:rFonts w:ascii="Times New Roman" w:eastAsia="方正小标宋_GBK" w:hAnsi="Times New Roman" w:cs="Times New Roman"/>
          <w:sz w:val="36"/>
          <w:szCs w:val="36"/>
        </w:rPr>
      </w:pPr>
      <w:r>
        <w:rPr>
          <w:rFonts w:ascii="Times New Roman" w:eastAsia="方正小标宋_GBK" w:hAnsi="Times New Roman" w:cs="Times New Roman"/>
          <w:sz w:val="36"/>
          <w:szCs w:val="36"/>
        </w:rPr>
        <w:t>支持绿色建材促进建筑品质提升全国试点城市</w:t>
      </w:r>
    </w:p>
    <w:p w:rsidR="00897864" w:rsidRDefault="002F74FC">
      <w:pPr>
        <w:jc w:val="center"/>
        <w:rPr>
          <w:rFonts w:ascii="Times New Roman" w:eastAsia="方正小标宋_GBK" w:hAnsi="Times New Roman" w:cs="Times New Roman"/>
          <w:sz w:val="36"/>
          <w:szCs w:val="36"/>
        </w:rPr>
      </w:pPr>
      <w:r>
        <w:rPr>
          <w:rFonts w:ascii="Times New Roman" w:eastAsia="方正小标宋_GBK" w:hAnsi="Times New Roman" w:cs="Times New Roman"/>
          <w:sz w:val="36"/>
          <w:szCs w:val="36"/>
        </w:rPr>
        <w:t>专项资金绩效评价报告</w:t>
      </w:r>
    </w:p>
    <w:p w:rsidR="00897864" w:rsidRDefault="00897864">
      <w:pPr>
        <w:rPr>
          <w:rFonts w:ascii="Times New Roman" w:eastAsia="方正小标宋_GBK" w:hAnsi="Times New Roman" w:cs="Times New Roman"/>
          <w:sz w:val="44"/>
          <w:szCs w:val="44"/>
        </w:rPr>
      </w:pPr>
    </w:p>
    <w:p w:rsidR="00897864" w:rsidRDefault="00897864">
      <w:pPr>
        <w:rPr>
          <w:rFonts w:ascii="Times New Roman" w:eastAsia="方正小标宋_GBK" w:hAnsi="Times New Roman" w:cs="Times New Roman"/>
          <w:sz w:val="44"/>
          <w:szCs w:val="44"/>
        </w:rPr>
      </w:pPr>
    </w:p>
    <w:p w:rsidR="00897864" w:rsidRDefault="00897864">
      <w:pPr>
        <w:rPr>
          <w:rFonts w:ascii="Times New Roman" w:eastAsia="方正小标宋_GBK" w:hAnsi="Times New Roman" w:cs="Times New Roman"/>
          <w:sz w:val="44"/>
          <w:szCs w:val="44"/>
        </w:rPr>
      </w:pPr>
    </w:p>
    <w:p w:rsidR="00897864" w:rsidRDefault="00897864">
      <w:pPr>
        <w:rPr>
          <w:rFonts w:ascii="Times New Roman" w:eastAsia="方正小标宋_GBK" w:hAnsi="Times New Roman" w:cs="Times New Roman"/>
          <w:sz w:val="44"/>
          <w:szCs w:val="44"/>
        </w:rPr>
      </w:pPr>
    </w:p>
    <w:p w:rsidR="00897864" w:rsidRDefault="00897864">
      <w:pPr>
        <w:rPr>
          <w:rFonts w:ascii="Times New Roman" w:eastAsia="方正小标宋_GBK" w:hAnsi="Times New Roman" w:cs="Times New Roman"/>
          <w:sz w:val="44"/>
          <w:szCs w:val="44"/>
        </w:rPr>
      </w:pPr>
    </w:p>
    <w:p w:rsidR="00897864" w:rsidRDefault="00897864">
      <w:pPr>
        <w:rPr>
          <w:rFonts w:ascii="Times New Roman" w:eastAsia="方正小标宋_GBK" w:hAnsi="Times New Roman" w:cs="Times New Roman"/>
          <w:sz w:val="44"/>
          <w:szCs w:val="44"/>
        </w:rPr>
      </w:pPr>
    </w:p>
    <w:p w:rsidR="00897864" w:rsidRDefault="00897864">
      <w:pPr>
        <w:rPr>
          <w:rFonts w:ascii="Times New Roman" w:eastAsia="方正小标宋_GBK" w:hAnsi="Times New Roman" w:cs="Times New Roman"/>
          <w:sz w:val="44"/>
          <w:szCs w:val="44"/>
        </w:rPr>
      </w:pPr>
    </w:p>
    <w:p w:rsidR="00897864" w:rsidRDefault="00897864">
      <w:pPr>
        <w:rPr>
          <w:rFonts w:ascii="Times New Roman" w:eastAsia="方正小标宋_GBK" w:hAnsi="Times New Roman" w:cs="Times New Roman"/>
          <w:sz w:val="44"/>
          <w:szCs w:val="44"/>
        </w:rPr>
      </w:pPr>
    </w:p>
    <w:p w:rsidR="00897864" w:rsidRDefault="00897864">
      <w:pPr>
        <w:rPr>
          <w:rFonts w:ascii="Times New Roman" w:eastAsia="方正小标宋_GBK" w:hAnsi="Times New Roman" w:cs="Times New Roman"/>
          <w:sz w:val="44"/>
          <w:szCs w:val="44"/>
        </w:rPr>
      </w:pPr>
    </w:p>
    <w:p w:rsidR="00897864" w:rsidRDefault="00897864">
      <w:pPr>
        <w:rPr>
          <w:rFonts w:ascii="Times New Roman" w:eastAsia="方正小标宋_GBK" w:hAnsi="Times New Roman" w:cs="Times New Roman"/>
          <w:sz w:val="44"/>
          <w:szCs w:val="44"/>
        </w:rPr>
      </w:pPr>
    </w:p>
    <w:p w:rsidR="00897864" w:rsidRDefault="00897864">
      <w:pPr>
        <w:rPr>
          <w:rFonts w:ascii="Times New Roman" w:eastAsia="方正小标宋_GBK" w:hAnsi="Times New Roman" w:cs="Times New Roman"/>
          <w:sz w:val="44"/>
          <w:szCs w:val="44"/>
        </w:rPr>
      </w:pPr>
    </w:p>
    <w:p w:rsidR="00897864" w:rsidRDefault="002F74FC">
      <w:pPr>
        <w:ind w:leftChars="284" w:left="2096" w:hangingChars="500" w:hanging="1500"/>
        <w:rPr>
          <w:rFonts w:ascii="Times New Roman" w:eastAsia="方正小标宋_GBK" w:hAnsi="Times New Roman" w:cs="Times New Roman"/>
          <w:sz w:val="30"/>
          <w:szCs w:val="30"/>
        </w:rPr>
      </w:pPr>
      <w:r>
        <w:rPr>
          <w:rFonts w:ascii="Times New Roman" w:eastAsia="方正小标宋_GBK" w:hAnsi="Times New Roman" w:cs="Times New Roman"/>
          <w:sz w:val="30"/>
          <w:szCs w:val="30"/>
        </w:rPr>
        <w:t>项目名称：南京市政府采购支持绿色建材促进建筑品质提升全国试点城市专项资金</w:t>
      </w:r>
    </w:p>
    <w:p w:rsidR="00897864" w:rsidRDefault="002F74FC">
      <w:pPr>
        <w:ind w:firstLineChars="200" w:firstLine="600"/>
        <w:rPr>
          <w:rFonts w:ascii="Times New Roman" w:eastAsia="方正小标宋_GBK" w:hAnsi="Times New Roman" w:cs="Times New Roman"/>
          <w:b/>
          <w:sz w:val="30"/>
          <w:szCs w:val="30"/>
        </w:rPr>
      </w:pPr>
      <w:r>
        <w:rPr>
          <w:rFonts w:ascii="Times New Roman" w:eastAsia="方正小标宋_GBK" w:hAnsi="Times New Roman" w:cs="Times New Roman"/>
          <w:sz w:val="30"/>
          <w:szCs w:val="30"/>
        </w:rPr>
        <w:t>项目单位：南京市绿色建筑与绿色建材发展中心</w:t>
      </w:r>
    </w:p>
    <w:p w:rsidR="00897864" w:rsidRDefault="00897864">
      <w:pPr>
        <w:rPr>
          <w:rFonts w:ascii="Times New Roman" w:eastAsia="方正小标宋_GBK" w:hAnsi="Times New Roman" w:cs="Times New Roman"/>
          <w:b/>
          <w:sz w:val="40"/>
          <w:szCs w:val="40"/>
        </w:rPr>
      </w:pPr>
    </w:p>
    <w:p w:rsidR="00897864" w:rsidRDefault="00897864">
      <w:pPr>
        <w:rPr>
          <w:rFonts w:ascii="Times New Roman" w:eastAsia="方正小标宋_GBK" w:hAnsi="Times New Roman" w:cs="Times New Roman"/>
          <w:b/>
          <w:sz w:val="40"/>
          <w:szCs w:val="40"/>
        </w:rPr>
      </w:pPr>
    </w:p>
    <w:p w:rsidR="00897864" w:rsidRDefault="002F74FC">
      <w:pPr>
        <w:jc w:val="center"/>
        <w:rPr>
          <w:rFonts w:ascii="Times New Roman" w:eastAsia="方正小标宋_GBK" w:hAnsi="Times New Roman" w:cs="Times New Roman"/>
          <w:bCs/>
          <w:sz w:val="30"/>
          <w:szCs w:val="30"/>
        </w:rPr>
      </w:pPr>
      <w:r>
        <w:rPr>
          <w:rFonts w:ascii="Times New Roman" w:eastAsia="方正小标宋_GBK" w:hAnsi="Times New Roman" w:cs="Times New Roman"/>
          <w:bCs/>
          <w:sz w:val="30"/>
          <w:szCs w:val="30"/>
        </w:rPr>
        <w:t>2024</w:t>
      </w:r>
      <w:r>
        <w:rPr>
          <w:rFonts w:ascii="Times New Roman" w:eastAsia="方正小标宋_GBK" w:hAnsi="Times New Roman" w:cs="Times New Roman"/>
          <w:bCs/>
          <w:sz w:val="30"/>
          <w:szCs w:val="30"/>
        </w:rPr>
        <w:t>年</w:t>
      </w:r>
      <w:r>
        <w:rPr>
          <w:rFonts w:ascii="Times New Roman" w:eastAsia="方正小标宋_GBK" w:hAnsi="Times New Roman" w:cs="Times New Roman"/>
          <w:bCs/>
          <w:sz w:val="30"/>
          <w:szCs w:val="30"/>
        </w:rPr>
        <w:t>6</w:t>
      </w:r>
      <w:r>
        <w:rPr>
          <w:rFonts w:ascii="Times New Roman" w:eastAsia="方正小标宋_GBK" w:hAnsi="Times New Roman" w:cs="Times New Roman"/>
          <w:bCs/>
          <w:sz w:val="30"/>
          <w:szCs w:val="30"/>
        </w:rPr>
        <w:t>月</w:t>
      </w:r>
    </w:p>
    <w:p w:rsidR="00897864" w:rsidRDefault="00897864">
      <w:pPr>
        <w:rPr>
          <w:rFonts w:ascii="Times New Roman" w:eastAsia="黑体" w:hAnsi="Times New Roman" w:cs="Times New Roman"/>
          <w:kern w:val="0"/>
          <w:sz w:val="22"/>
          <w:lang w:val="zh-CN"/>
        </w:rPr>
        <w:sectPr w:rsidR="00897864">
          <w:pgSz w:w="11906" w:h="16838"/>
          <w:pgMar w:top="1440" w:right="1800" w:bottom="1440" w:left="1800" w:header="851" w:footer="992" w:gutter="0"/>
          <w:cols w:space="425"/>
          <w:docGrid w:type="lines" w:linePitch="312"/>
        </w:sectPr>
      </w:pPr>
    </w:p>
    <w:sdt>
      <w:sdtPr>
        <w:rPr>
          <w:rFonts w:ascii="Times New Roman" w:eastAsia="黑体" w:hAnsi="Times New Roman" w:cs="Times New Roman"/>
          <w:kern w:val="0"/>
          <w:sz w:val="22"/>
          <w:lang w:val="zh-CN"/>
        </w:rPr>
        <w:id w:val="869644807"/>
        <w:docPartObj>
          <w:docPartGallery w:val="Table of Contents"/>
          <w:docPartUnique/>
        </w:docPartObj>
      </w:sdtPr>
      <w:sdtEndPr/>
      <w:sdtContent>
        <w:p w:rsidR="00897864" w:rsidRDefault="00897864">
          <w:pPr>
            <w:jc w:val="center"/>
            <w:rPr>
              <w:rFonts w:ascii="Times New Roman" w:eastAsia="黑体" w:hAnsi="Times New Roman" w:cs="Times New Roman"/>
              <w:kern w:val="0"/>
              <w:sz w:val="22"/>
              <w:lang w:val="zh-CN"/>
            </w:rPr>
          </w:pPr>
        </w:p>
        <w:p w:rsidR="00897864" w:rsidRDefault="002F74FC">
          <w:pPr>
            <w:jc w:val="center"/>
            <w:rPr>
              <w:rFonts w:ascii="Times New Roman" w:eastAsia="黑体" w:hAnsi="Times New Roman" w:cs="Times New Roman"/>
              <w:sz w:val="44"/>
              <w:szCs w:val="44"/>
              <w:lang w:val="zh-CN"/>
            </w:rPr>
          </w:pPr>
          <w:r>
            <w:rPr>
              <w:rFonts w:ascii="Times New Roman" w:eastAsia="黑体" w:hAnsi="Times New Roman" w:cs="Times New Roman"/>
              <w:sz w:val="44"/>
              <w:szCs w:val="44"/>
              <w:lang w:val="zh-CN"/>
            </w:rPr>
            <w:t>目</w:t>
          </w:r>
          <w:r>
            <w:rPr>
              <w:rFonts w:ascii="Times New Roman" w:eastAsia="黑体" w:hAnsi="Times New Roman" w:cs="Times New Roman"/>
              <w:sz w:val="44"/>
              <w:szCs w:val="44"/>
              <w:lang w:val="zh-CN"/>
            </w:rPr>
            <w:t xml:space="preserve">  </w:t>
          </w:r>
          <w:r>
            <w:rPr>
              <w:rFonts w:ascii="Times New Roman" w:eastAsia="黑体" w:hAnsi="Times New Roman" w:cs="Times New Roman"/>
              <w:sz w:val="44"/>
              <w:szCs w:val="44"/>
              <w:lang w:val="zh-CN"/>
            </w:rPr>
            <w:t>录</w:t>
          </w:r>
        </w:p>
        <w:p w:rsidR="00897864" w:rsidRDefault="00897864">
          <w:pPr>
            <w:rPr>
              <w:rFonts w:ascii="Times New Roman" w:eastAsia="黑体" w:hAnsi="Times New Roman" w:cs="Times New Roman"/>
              <w:b/>
              <w:sz w:val="44"/>
              <w:szCs w:val="44"/>
            </w:rPr>
          </w:pPr>
        </w:p>
        <w:p w:rsidR="00897864" w:rsidRDefault="002F74FC">
          <w:pPr>
            <w:pStyle w:val="10"/>
            <w:rPr>
              <w:rFonts w:ascii="Times New Roman" w:eastAsia="仿宋" w:hAnsi="Times New Roman"/>
              <w:sz w:val="32"/>
              <w:szCs w:val="32"/>
            </w:rPr>
          </w:pPr>
          <w:r>
            <w:rPr>
              <w:rFonts w:ascii="Times New Roman" w:eastAsia="黑体" w:hAnsi="Times New Roman"/>
              <w:sz w:val="32"/>
              <w:szCs w:val="32"/>
            </w:rPr>
            <w:t>一、项目概况</w:t>
          </w:r>
          <w:r>
            <w:rPr>
              <w:rFonts w:ascii="Times New Roman" w:eastAsia="仿宋" w:hAnsi="Times New Roman"/>
              <w:sz w:val="32"/>
              <w:szCs w:val="32"/>
            </w:rPr>
            <w:ptab w:relativeTo="margin" w:alignment="right" w:leader="dot"/>
          </w:r>
          <w:r>
            <w:rPr>
              <w:rFonts w:ascii="Times New Roman" w:eastAsia="仿宋" w:hAnsi="Times New Roman"/>
              <w:sz w:val="32"/>
              <w:szCs w:val="32"/>
            </w:rPr>
            <w:t>1</w:t>
          </w:r>
        </w:p>
        <w:p w:rsidR="00897864" w:rsidRDefault="002F74FC">
          <w:pPr>
            <w:pStyle w:val="2"/>
            <w:ind w:left="216"/>
            <w:rPr>
              <w:rFonts w:ascii="Times New Roman" w:eastAsia="仿宋" w:hAnsi="Times New Roman"/>
              <w:sz w:val="32"/>
              <w:szCs w:val="32"/>
            </w:rPr>
          </w:pPr>
          <w:r>
            <w:rPr>
              <w:rFonts w:ascii="Times New Roman" w:eastAsia="楷体" w:hAnsi="Times New Roman"/>
              <w:sz w:val="32"/>
              <w:szCs w:val="32"/>
            </w:rPr>
            <w:t>（一）项目基本情况</w:t>
          </w:r>
          <w:r>
            <w:rPr>
              <w:rFonts w:ascii="Times New Roman" w:eastAsia="仿宋" w:hAnsi="Times New Roman"/>
              <w:sz w:val="32"/>
              <w:szCs w:val="32"/>
            </w:rPr>
            <w:ptab w:relativeTo="margin" w:alignment="right" w:leader="dot"/>
          </w:r>
          <w:r>
            <w:rPr>
              <w:rFonts w:ascii="Times New Roman" w:eastAsia="仿宋" w:hAnsi="Times New Roman"/>
              <w:sz w:val="32"/>
              <w:szCs w:val="32"/>
            </w:rPr>
            <w:t>1</w:t>
          </w:r>
        </w:p>
        <w:p w:rsidR="00897864" w:rsidRDefault="002F74FC">
          <w:pPr>
            <w:pStyle w:val="2"/>
            <w:ind w:left="216"/>
            <w:rPr>
              <w:rFonts w:ascii="Times New Roman" w:eastAsia="仿宋" w:hAnsi="Times New Roman"/>
              <w:sz w:val="32"/>
              <w:szCs w:val="32"/>
            </w:rPr>
          </w:pPr>
          <w:r>
            <w:rPr>
              <w:rFonts w:ascii="Times New Roman" w:eastAsia="楷体" w:hAnsi="Times New Roman"/>
              <w:sz w:val="32"/>
              <w:szCs w:val="32"/>
            </w:rPr>
            <w:t>（二）项目资金情况</w:t>
          </w:r>
          <w:r>
            <w:rPr>
              <w:rFonts w:ascii="Times New Roman" w:eastAsia="仿宋" w:hAnsi="Times New Roman"/>
              <w:sz w:val="32"/>
              <w:szCs w:val="32"/>
            </w:rPr>
            <w:ptab w:relativeTo="margin" w:alignment="right" w:leader="dot"/>
          </w:r>
          <w:r>
            <w:rPr>
              <w:rFonts w:ascii="Times New Roman" w:eastAsia="仿宋" w:hAnsi="Times New Roman"/>
              <w:sz w:val="32"/>
              <w:szCs w:val="32"/>
            </w:rPr>
            <w:t>2</w:t>
          </w:r>
        </w:p>
        <w:p w:rsidR="00897864" w:rsidRDefault="002F74FC">
          <w:pPr>
            <w:pStyle w:val="2"/>
            <w:ind w:left="216"/>
            <w:rPr>
              <w:rFonts w:ascii="Times New Roman" w:eastAsia="仿宋" w:hAnsi="Times New Roman"/>
              <w:sz w:val="32"/>
              <w:szCs w:val="32"/>
            </w:rPr>
          </w:pPr>
          <w:r>
            <w:rPr>
              <w:rFonts w:ascii="Times New Roman" w:eastAsia="楷体" w:hAnsi="Times New Roman"/>
              <w:sz w:val="32"/>
              <w:szCs w:val="32"/>
            </w:rPr>
            <w:t>（三）绩效目标</w:t>
          </w:r>
          <w:r>
            <w:rPr>
              <w:rFonts w:ascii="Times New Roman" w:eastAsia="仿宋" w:hAnsi="Times New Roman"/>
              <w:sz w:val="32"/>
              <w:szCs w:val="32"/>
            </w:rPr>
            <w:ptab w:relativeTo="margin" w:alignment="right" w:leader="dot"/>
          </w:r>
          <w:r>
            <w:rPr>
              <w:rFonts w:ascii="Times New Roman" w:eastAsia="仿宋" w:hAnsi="Times New Roman"/>
              <w:sz w:val="32"/>
              <w:szCs w:val="32"/>
            </w:rPr>
            <w:t>2</w:t>
          </w:r>
        </w:p>
        <w:p w:rsidR="00897864" w:rsidRDefault="002F74FC">
          <w:pPr>
            <w:pStyle w:val="10"/>
            <w:rPr>
              <w:rFonts w:ascii="Times New Roman" w:eastAsia="仿宋" w:hAnsi="Times New Roman"/>
              <w:sz w:val="32"/>
              <w:szCs w:val="32"/>
            </w:rPr>
          </w:pPr>
          <w:r>
            <w:rPr>
              <w:rFonts w:ascii="Times New Roman" w:eastAsia="黑体" w:hAnsi="Times New Roman"/>
              <w:sz w:val="32"/>
              <w:szCs w:val="32"/>
            </w:rPr>
            <w:t>二、评价结论</w:t>
          </w:r>
          <w:r>
            <w:rPr>
              <w:rFonts w:ascii="Times New Roman" w:eastAsia="仿宋" w:hAnsi="Times New Roman"/>
              <w:sz w:val="32"/>
              <w:szCs w:val="32"/>
            </w:rPr>
            <w:ptab w:relativeTo="margin" w:alignment="right" w:leader="dot"/>
          </w:r>
          <w:r>
            <w:rPr>
              <w:rFonts w:ascii="Times New Roman" w:eastAsia="仿宋" w:hAnsi="Times New Roman"/>
              <w:sz w:val="32"/>
              <w:szCs w:val="32"/>
            </w:rPr>
            <w:t>3</w:t>
          </w:r>
        </w:p>
        <w:p w:rsidR="00897864" w:rsidRDefault="002F74FC">
          <w:pPr>
            <w:pStyle w:val="10"/>
            <w:rPr>
              <w:rFonts w:ascii="Times New Roman" w:eastAsia="仿宋" w:hAnsi="Times New Roman"/>
              <w:sz w:val="32"/>
              <w:szCs w:val="32"/>
            </w:rPr>
          </w:pPr>
          <w:r>
            <w:rPr>
              <w:rFonts w:ascii="Times New Roman" w:eastAsia="黑体" w:hAnsi="Times New Roman"/>
              <w:sz w:val="32"/>
              <w:szCs w:val="32"/>
            </w:rPr>
            <w:t>三、项目成效</w:t>
          </w:r>
          <w:r>
            <w:rPr>
              <w:rFonts w:ascii="Times New Roman" w:eastAsia="仿宋" w:hAnsi="Times New Roman"/>
              <w:sz w:val="32"/>
              <w:szCs w:val="32"/>
            </w:rPr>
            <w:ptab w:relativeTo="margin" w:alignment="right" w:leader="dot"/>
          </w:r>
          <w:r>
            <w:rPr>
              <w:rFonts w:ascii="Times New Roman" w:eastAsia="仿宋" w:hAnsi="Times New Roman"/>
              <w:sz w:val="32"/>
              <w:szCs w:val="32"/>
            </w:rPr>
            <w:t>3</w:t>
          </w:r>
        </w:p>
        <w:p w:rsidR="00897864" w:rsidRDefault="002F74FC">
          <w:pPr>
            <w:pStyle w:val="10"/>
            <w:rPr>
              <w:rFonts w:ascii="Times New Roman" w:eastAsia="仿宋" w:hAnsi="Times New Roman"/>
              <w:sz w:val="32"/>
              <w:szCs w:val="32"/>
            </w:rPr>
          </w:pPr>
          <w:r>
            <w:rPr>
              <w:rFonts w:ascii="Times New Roman" w:eastAsia="黑体" w:hAnsi="Times New Roman"/>
              <w:sz w:val="32"/>
              <w:szCs w:val="32"/>
            </w:rPr>
            <w:t>四、存在问题及原因分析</w:t>
          </w:r>
          <w:r>
            <w:rPr>
              <w:rFonts w:ascii="Times New Roman" w:eastAsia="仿宋" w:hAnsi="Times New Roman"/>
              <w:sz w:val="32"/>
              <w:szCs w:val="32"/>
            </w:rPr>
            <w:ptab w:relativeTo="margin" w:alignment="right" w:leader="dot"/>
          </w:r>
          <w:r>
            <w:rPr>
              <w:rFonts w:ascii="Times New Roman" w:eastAsia="仿宋" w:hAnsi="Times New Roman"/>
              <w:sz w:val="32"/>
              <w:szCs w:val="32"/>
            </w:rPr>
            <w:t>5</w:t>
          </w:r>
        </w:p>
        <w:p w:rsidR="00897864" w:rsidRDefault="002F74FC">
          <w:pPr>
            <w:pStyle w:val="10"/>
            <w:rPr>
              <w:rFonts w:ascii="Times New Roman" w:eastAsia="仿宋" w:hAnsi="Times New Roman"/>
              <w:sz w:val="32"/>
              <w:szCs w:val="32"/>
            </w:rPr>
          </w:pPr>
          <w:r>
            <w:rPr>
              <w:rFonts w:ascii="Times New Roman" w:eastAsia="黑体" w:hAnsi="Times New Roman"/>
              <w:sz w:val="32"/>
              <w:szCs w:val="32"/>
            </w:rPr>
            <w:t>五、改进建议</w:t>
          </w:r>
          <w:r>
            <w:rPr>
              <w:rFonts w:ascii="Times New Roman" w:eastAsia="仿宋" w:hAnsi="Times New Roman"/>
              <w:sz w:val="32"/>
              <w:szCs w:val="32"/>
            </w:rPr>
            <w:ptab w:relativeTo="margin" w:alignment="right" w:leader="dot"/>
          </w:r>
          <w:r>
            <w:rPr>
              <w:rFonts w:ascii="Times New Roman" w:eastAsia="仿宋" w:hAnsi="Times New Roman"/>
              <w:sz w:val="32"/>
              <w:szCs w:val="32"/>
            </w:rPr>
            <w:t>7</w:t>
          </w:r>
        </w:p>
        <w:p w:rsidR="00897864" w:rsidRDefault="002F74FC">
          <w:pPr>
            <w:pStyle w:val="2"/>
            <w:ind w:left="0"/>
            <w:rPr>
              <w:rFonts w:ascii="Times New Roman" w:eastAsia="仿宋" w:hAnsi="Times New Roman"/>
              <w:sz w:val="32"/>
              <w:szCs w:val="32"/>
            </w:rPr>
          </w:pPr>
          <w:r>
            <w:rPr>
              <w:rFonts w:ascii="Times New Roman" w:eastAsia="黑体" w:hAnsi="Times New Roman"/>
              <w:sz w:val="32"/>
              <w:szCs w:val="32"/>
            </w:rPr>
            <w:t>六、评价工作开展情况及其他需要说明的情况</w:t>
          </w:r>
          <w:r>
            <w:rPr>
              <w:rFonts w:ascii="Times New Roman" w:eastAsia="仿宋" w:hAnsi="Times New Roman"/>
              <w:sz w:val="32"/>
              <w:szCs w:val="32"/>
            </w:rPr>
            <w:ptab w:relativeTo="margin" w:alignment="right" w:leader="dot"/>
          </w:r>
          <w:r>
            <w:rPr>
              <w:rFonts w:ascii="Times New Roman" w:eastAsia="仿宋" w:hAnsi="Times New Roman"/>
              <w:sz w:val="32"/>
              <w:szCs w:val="32"/>
            </w:rPr>
            <w:t>8</w:t>
          </w:r>
        </w:p>
        <w:p w:rsidR="00897864" w:rsidRDefault="002F74FC">
          <w:pPr>
            <w:pStyle w:val="2"/>
            <w:ind w:left="216"/>
            <w:rPr>
              <w:rFonts w:ascii="Times New Roman" w:eastAsia="仿宋" w:hAnsi="Times New Roman"/>
              <w:sz w:val="32"/>
              <w:szCs w:val="32"/>
            </w:rPr>
          </w:pPr>
          <w:r>
            <w:rPr>
              <w:rFonts w:ascii="Times New Roman" w:eastAsia="楷体" w:hAnsi="Times New Roman"/>
              <w:sz w:val="32"/>
              <w:szCs w:val="32"/>
            </w:rPr>
            <w:t>（一）</w:t>
          </w:r>
          <w:r>
            <w:rPr>
              <w:rFonts w:ascii="Times New Roman" w:eastAsia="楷体" w:hAnsi="Times New Roman"/>
              <w:spacing w:val="53"/>
              <w:sz w:val="32"/>
              <w:szCs w:val="32"/>
              <w:fitText w:val="1600" w:id="-1275866876"/>
            </w:rPr>
            <w:t>评价思</w:t>
          </w:r>
          <w:r>
            <w:rPr>
              <w:rFonts w:ascii="Times New Roman" w:eastAsia="楷体" w:hAnsi="Times New Roman"/>
              <w:spacing w:val="1"/>
              <w:sz w:val="32"/>
              <w:szCs w:val="32"/>
              <w:fitText w:val="1600" w:id="-1275866876"/>
            </w:rPr>
            <w:t>路</w:t>
          </w:r>
          <w:r>
            <w:rPr>
              <w:rFonts w:ascii="Times New Roman" w:eastAsia="仿宋" w:hAnsi="Times New Roman"/>
              <w:sz w:val="32"/>
              <w:szCs w:val="32"/>
            </w:rPr>
            <w:ptab w:relativeTo="margin" w:alignment="right" w:leader="dot"/>
          </w:r>
          <w:r>
            <w:rPr>
              <w:rFonts w:ascii="Times New Roman" w:eastAsia="仿宋" w:hAnsi="Times New Roman"/>
              <w:sz w:val="32"/>
              <w:szCs w:val="32"/>
            </w:rPr>
            <w:t>8</w:t>
          </w:r>
        </w:p>
        <w:p w:rsidR="00897864" w:rsidRDefault="002F74FC">
          <w:pPr>
            <w:pStyle w:val="2"/>
            <w:ind w:left="216"/>
            <w:rPr>
              <w:rFonts w:ascii="Times New Roman" w:eastAsia="仿宋" w:hAnsi="Times New Roman"/>
              <w:sz w:val="32"/>
              <w:szCs w:val="32"/>
            </w:rPr>
          </w:pPr>
          <w:r>
            <w:rPr>
              <w:rFonts w:ascii="Times New Roman" w:eastAsia="楷体" w:hAnsi="Times New Roman"/>
              <w:sz w:val="32"/>
              <w:szCs w:val="32"/>
            </w:rPr>
            <w:t>（二）</w:t>
          </w:r>
          <w:r>
            <w:rPr>
              <w:rFonts w:ascii="Times New Roman" w:eastAsia="楷体" w:hAnsi="Times New Roman"/>
              <w:spacing w:val="53"/>
              <w:sz w:val="32"/>
              <w:szCs w:val="32"/>
              <w:fitText w:val="1600" w:id="-1275866875"/>
            </w:rPr>
            <w:t>指标设</w:t>
          </w:r>
          <w:r>
            <w:rPr>
              <w:rFonts w:ascii="Times New Roman" w:eastAsia="楷体" w:hAnsi="Times New Roman"/>
              <w:spacing w:val="1"/>
              <w:sz w:val="32"/>
              <w:szCs w:val="32"/>
              <w:fitText w:val="1600" w:id="-1275866875"/>
            </w:rPr>
            <w:t>定</w:t>
          </w:r>
          <w:r>
            <w:rPr>
              <w:rFonts w:ascii="Times New Roman" w:eastAsia="仿宋" w:hAnsi="Times New Roman"/>
              <w:sz w:val="32"/>
              <w:szCs w:val="32"/>
            </w:rPr>
            <w:ptab w:relativeTo="margin" w:alignment="right" w:leader="dot"/>
          </w:r>
          <w:r>
            <w:rPr>
              <w:rFonts w:ascii="Times New Roman" w:eastAsia="仿宋" w:hAnsi="Times New Roman"/>
              <w:sz w:val="32"/>
              <w:szCs w:val="32"/>
            </w:rPr>
            <w:t>8</w:t>
          </w:r>
        </w:p>
        <w:p w:rsidR="00897864" w:rsidRDefault="002F74FC">
          <w:pPr>
            <w:pStyle w:val="2"/>
            <w:ind w:left="216"/>
            <w:rPr>
              <w:rFonts w:ascii="Times New Roman" w:eastAsia="仿宋" w:hAnsi="Times New Roman"/>
              <w:sz w:val="32"/>
              <w:szCs w:val="32"/>
            </w:rPr>
          </w:pPr>
          <w:r>
            <w:rPr>
              <w:rFonts w:ascii="Times New Roman" w:eastAsia="楷体" w:hAnsi="Times New Roman"/>
              <w:sz w:val="32"/>
              <w:szCs w:val="32"/>
            </w:rPr>
            <w:t>（三）</w:t>
          </w:r>
          <w:r>
            <w:rPr>
              <w:rFonts w:ascii="Times New Roman" w:eastAsia="楷体" w:hAnsi="Times New Roman"/>
              <w:spacing w:val="53"/>
              <w:sz w:val="32"/>
              <w:szCs w:val="32"/>
              <w:fitText w:val="1600" w:id="-1275866874"/>
            </w:rPr>
            <w:t>组织实</w:t>
          </w:r>
          <w:r>
            <w:rPr>
              <w:rFonts w:ascii="Times New Roman" w:eastAsia="楷体" w:hAnsi="Times New Roman"/>
              <w:spacing w:val="1"/>
              <w:sz w:val="32"/>
              <w:szCs w:val="32"/>
              <w:fitText w:val="1600" w:id="-1275866874"/>
            </w:rPr>
            <w:t>施</w:t>
          </w:r>
          <w:r>
            <w:rPr>
              <w:rFonts w:ascii="Times New Roman" w:eastAsia="仿宋" w:hAnsi="Times New Roman"/>
              <w:sz w:val="32"/>
              <w:szCs w:val="32"/>
            </w:rPr>
            <w:ptab w:relativeTo="margin" w:alignment="right" w:leader="dot"/>
          </w:r>
          <w:r>
            <w:rPr>
              <w:rFonts w:ascii="Times New Roman" w:eastAsia="仿宋" w:hAnsi="Times New Roman"/>
              <w:sz w:val="32"/>
              <w:szCs w:val="32"/>
            </w:rPr>
            <w:t>8</w:t>
          </w:r>
        </w:p>
        <w:p w:rsidR="00897864" w:rsidRDefault="002F74FC">
          <w:pPr>
            <w:pStyle w:val="10"/>
            <w:rPr>
              <w:rFonts w:ascii="Times New Roman" w:eastAsia="仿宋" w:hAnsi="Times New Roman"/>
              <w:sz w:val="32"/>
              <w:szCs w:val="32"/>
            </w:rPr>
          </w:pPr>
          <w:r>
            <w:rPr>
              <w:rFonts w:ascii="Times New Roman" w:eastAsia="黑体" w:hAnsi="Times New Roman"/>
              <w:sz w:val="32"/>
              <w:szCs w:val="32"/>
            </w:rPr>
            <w:t>七、评价附表</w:t>
          </w:r>
          <w:r>
            <w:rPr>
              <w:rFonts w:ascii="Times New Roman" w:eastAsia="仿宋" w:hAnsi="Times New Roman"/>
              <w:sz w:val="32"/>
              <w:szCs w:val="32"/>
            </w:rPr>
            <w:ptab w:relativeTo="margin" w:alignment="right" w:leader="dot"/>
          </w:r>
          <w:r>
            <w:rPr>
              <w:rFonts w:ascii="Times New Roman" w:eastAsia="仿宋" w:hAnsi="Times New Roman"/>
              <w:sz w:val="32"/>
              <w:szCs w:val="32"/>
            </w:rPr>
            <w:t>10</w:t>
          </w:r>
        </w:p>
        <w:p w:rsidR="00897864" w:rsidRDefault="00897864">
          <w:pPr>
            <w:pStyle w:val="10"/>
            <w:rPr>
              <w:rFonts w:ascii="Times New Roman" w:eastAsia="仿宋" w:hAnsi="Times New Roman"/>
              <w:sz w:val="32"/>
              <w:szCs w:val="32"/>
            </w:rPr>
          </w:pPr>
        </w:p>
        <w:p w:rsidR="00897864" w:rsidRDefault="004316B3">
          <w:pPr>
            <w:pStyle w:val="2"/>
            <w:ind w:left="216"/>
            <w:rPr>
              <w:rFonts w:ascii="Times New Roman" w:hAnsi="Times New Roman"/>
            </w:rPr>
          </w:pPr>
        </w:p>
      </w:sdtContent>
    </w:sdt>
    <w:p w:rsidR="00897864" w:rsidRDefault="00897864">
      <w:pPr>
        <w:ind w:firstLineChars="150" w:firstLine="480"/>
        <w:jc w:val="left"/>
        <w:rPr>
          <w:rFonts w:ascii="Times New Roman" w:eastAsia="仿宋" w:hAnsi="Times New Roman" w:cs="Times New Roman"/>
          <w:sz w:val="32"/>
          <w:szCs w:val="32"/>
        </w:rPr>
      </w:pPr>
    </w:p>
    <w:p w:rsidR="00897864" w:rsidRDefault="00897864">
      <w:pPr>
        <w:ind w:firstLineChars="150" w:firstLine="480"/>
        <w:jc w:val="left"/>
        <w:rPr>
          <w:rFonts w:ascii="Times New Roman" w:eastAsia="仿宋" w:hAnsi="Times New Roman" w:cs="Times New Roman"/>
          <w:sz w:val="32"/>
          <w:szCs w:val="32"/>
        </w:rPr>
      </w:pPr>
    </w:p>
    <w:p w:rsidR="00897864" w:rsidRDefault="00897864">
      <w:pPr>
        <w:ind w:firstLineChars="150" w:firstLine="480"/>
        <w:jc w:val="left"/>
        <w:rPr>
          <w:rFonts w:ascii="Times New Roman" w:eastAsia="仿宋" w:hAnsi="Times New Roman" w:cs="Times New Roman"/>
          <w:sz w:val="32"/>
          <w:szCs w:val="32"/>
        </w:rPr>
      </w:pPr>
    </w:p>
    <w:p w:rsidR="00897864" w:rsidRDefault="00897864">
      <w:pPr>
        <w:widowControl/>
        <w:rPr>
          <w:rFonts w:ascii="Times New Roman" w:eastAsia="方正小标宋简体" w:hAnsi="Times New Roman" w:cs="Times New Roman"/>
          <w:color w:val="000000"/>
          <w:kern w:val="0"/>
          <w:sz w:val="36"/>
          <w:szCs w:val="36"/>
        </w:rPr>
        <w:sectPr w:rsidR="00897864">
          <w:footerReference w:type="default" r:id="rId9"/>
          <w:pgSz w:w="11906" w:h="16838"/>
          <w:pgMar w:top="1440" w:right="1800" w:bottom="1440" w:left="1800" w:header="851" w:footer="992" w:gutter="0"/>
          <w:pgNumType w:start="1"/>
          <w:cols w:space="425"/>
          <w:docGrid w:type="lines" w:linePitch="312"/>
        </w:sectPr>
      </w:pPr>
    </w:p>
    <w:p w:rsidR="00897864" w:rsidRDefault="002F74FC">
      <w:pPr>
        <w:spacing w:line="560" w:lineRule="exact"/>
        <w:jc w:val="center"/>
        <w:rPr>
          <w:rFonts w:ascii="Times New Roman" w:eastAsia="方正小标宋_GBK" w:hAnsi="Times New Roman" w:cs="Times New Roman"/>
          <w:sz w:val="36"/>
          <w:szCs w:val="36"/>
        </w:rPr>
      </w:pPr>
      <w:r>
        <w:rPr>
          <w:rFonts w:ascii="Times New Roman" w:eastAsia="方正小标宋_GBK" w:hAnsi="Times New Roman" w:cs="Times New Roman"/>
          <w:sz w:val="36"/>
          <w:szCs w:val="36"/>
        </w:rPr>
        <w:lastRenderedPageBreak/>
        <w:t>2023</w:t>
      </w:r>
      <w:r>
        <w:rPr>
          <w:rFonts w:ascii="Times New Roman" w:eastAsia="方正小标宋_GBK" w:hAnsi="Times New Roman" w:cs="Times New Roman"/>
          <w:sz w:val="36"/>
          <w:szCs w:val="36"/>
        </w:rPr>
        <w:t>年度南京市城乡建设委员会南京市政府采购</w:t>
      </w:r>
    </w:p>
    <w:p w:rsidR="00897864" w:rsidRDefault="002F74FC">
      <w:pPr>
        <w:spacing w:line="560" w:lineRule="exact"/>
        <w:jc w:val="center"/>
        <w:rPr>
          <w:rFonts w:ascii="Times New Roman" w:eastAsia="方正小标宋_GBK" w:hAnsi="Times New Roman" w:cs="Times New Roman"/>
          <w:sz w:val="36"/>
          <w:szCs w:val="36"/>
        </w:rPr>
      </w:pPr>
      <w:r>
        <w:rPr>
          <w:rFonts w:ascii="Times New Roman" w:eastAsia="方正小标宋_GBK" w:hAnsi="Times New Roman" w:cs="Times New Roman"/>
          <w:sz w:val="36"/>
          <w:szCs w:val="36"/>
        </w:rPr>
        <w:t>支持绿色建材促进建筑品质提升全国试点城市</w:t>
      </w:r>
    </w:p>
    <w:p w:rsidR="00897864" w:rsidRDefault="002F74FC">
      <w:pPr>
        <w:spacing w:line="560" w:lineRule="exact"/>
        <w:jc w:val="center"/>
        <w:rPr>
          <w:rFonts w:ascii="Times New Roman" w:eastAsia="方正小标宋_GBK" w:hAnsi="Times New Roman" w:cs="Times New Roman"/>
          <w:sz w:val="36"/>
          <w:szCs w:val="36"/>
        </w:rPr>
      </w:pPr>
      <w:r>
        <w:rPr>
          <w:rFonts w:ascii="Times New Roman" w:eastAsia="方正小标宋_GBK" w:hAnsi="Times New Roman" w:cs="Times New Roman"/>
          <w:sz w:val="36"/>
          <w:szCs w:val="36"/>
        </w:rPr>
        <w:t>专项资金绩效评价报告</w:t>
      </w:r>
    </w:p>
    <w:p w:rsidR="00897864" w:rsidRDefault="00897864">
      <w:pPr>
        <w:spacing w:line="560" w:lineRule="exact"/>
        <w:jc w:val="center"/>
        <w:rPr>
          <w:rFonts w:ascii="Times New Roman" w:eastAsia="宋体" w:hAnsi="Times New Roman" w:cs="Times New Roman"/>
          <w:sz w:val="10"/>
          <w:szCs w:val="10"/>
        </w:rPr>
      </w:pPr>
    </w:p>
    <w:p w:rsidR="00897864" w:rsidRDefault="002F74FC">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为进一步提高预算透明度，深入推进预算绩效信息公开工作，增进财政资金使用效率及效益，现对</w:t>
      </w:r>
      <w:r>
        <w:rPr>
          <w:rFonts w:ascii="Times New Roman" w:eastAsia="仿宋" w:hAnsi="Times New Roman" w:cs="Times New Roman"/>
          <w:sz w:val="32"/>
          <w:szCs w:val="32"/>
        </w:rPr>
        <w:t>2023</w:t>
      </w:r>
      <w:r>
        <w:rPr>
          <w:rFonts w:ascii="Times New Roman" w:eastAsia="仿宋" w:hAnsi="Times New Roman" w:cs="Times New Roman"/>
          <w:sz w:val="32"/>
          <w:szCs w:val="32"/>
        </w:rPr>
        <w:t>年度南京市政府采购支持绿色建材促进建筑品质提升全国试点城市专项资金开展绩效评价工作。具体情况如下：</w:t>
      </w:r>
    </w:p>
    <w:p w:rsidR="00897864" w:rsidRDefault="002F74F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color w:val="000000"/>
          <w:kern w:val="0"/>
          <w:sz w:val="32"/>
          <w:szCs w:val="32"/>
        </w:rPr>
        <w:t>一、项目概况</w:t>
      </w:r>
      <w:r>
        <w:rPr>
          <w:rFonts w:ascii="Times New Roman" w:eastAsia="黑体" w:hAnsi="Times New Roman" w:cs="Times New Roman"/>
          <w:color w:val="000000"/>
          <w:kern w:val="0"/>
          <w:sz w:val="32"/>
          <w:szCs w:val="32"/>
        </w:rPr>
        <w:t xml:space="preserve"> </w:t>
      </w:r>
    </w:p>
    <w:p w:rsidR="00897864" w:rsidRDefault="002F74FC">
      <w:pPr>
        <w:widowControl/>
        <w:spacing w:line="560" w:lineRule="exact"/>
        <w:ind w:firstLineChars="200" w:firstLine="640"/>
        <w:rPr>
          <w:rFonts w:ascii="Times New Roman" w:eastAsia="楷体" w:hAnsi="Times New Roman" w:cs="Times New Roman"/>
          <w:color w:val="000000"/>
          <w:kern w:val="0"/>
          <w:sz w:val="32"/>
          <w:szCs w:val="32"/>
        </w:rPr>
      </w:pPr>
      <w:r>
        <w:rPr>
          <w:rFonts w:ascii="Times New Roman" w:eastAsia="楷体" w:hAnsi="Times New Roman" w:cs="Times New Roman"/>
          <w:color w:val="000000"/>
          <w:kern w:val="0"/>
          <w:sz w:val="32"/>
          <w:szCs w:val="32"/>
        </w:rPr>
        <w:t>（一）项目基本情况</w:t>
      </w:r>
    </w:p>
    <w:p w:rsidR="00897864" w:rsidRDefault="002F74FC">
      <w:pPr>
        <w:pStyle w:val="a3"/>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color w:val="000000"/>
          <w:kern w:val="0"/>
          <w:sz w:val="32"/>
          <w:szCs w:val="32"/>
        </w:rPr>
        <w:t>根据《关于政府采购支持绿色建材促进建筑品质提升试点工作方案》</w:t>
      </w:r>
      <w:r>
        <w:rPr>
          <w:rFonts w:ascii="Times New Roman" w:eastAsia="仿宋" w:hAnsi="Times New Roman" w:cs="Times New Roman"/>
          <w:color w:val="000000"/>
          <w:kern w:val="0"/>
          <w:sz w:val="32"/>
          <w:szCs w:val="32"/>
        </w:rPr>
        <w:t>(</w:t>
      </w:r>
      <w:r>
        <w:rPr>
          <w:rFonts w:ascii="Times New Roman" w:eastAsia="仿宋" w:hAnsi="Times New Roman" w:cs="Times New Roman"/>
          <w:color w:val="000000"/>
          <w:kern w:val="0"/>
          <w:sz w:val="32"/>
          <w:szCs w:val="32"/>
        </w:rPr>
        <w:t>财库便函〔</w:t>
      </w:r>
      <w:r>
        <w:rPr>
          <w:rFonts w:ascii="Times New Roman" w:eastAsia="仿宋" w:hAnsi="Times New Roman" w:cs="Times New Roman"/>
          <w:color w:val="000000"/>
          <w:kern w:val="0"/>
          <w:sz w:val="32"/>
          <w:szCs w:val="32"/>
        </w:rPr>
        <w:t>2020</w:t>
      </w:r>
      <w:r>
        <w:rPr>
          <w:rFonts w:ascii="Times New Roman" w:eastAsia="仿宋" w:hAnsi="Times New Roman" w:cs="Times New Roman"/>
          <w:color w:val="000000"/>
          <w:kern w:val="0"/>
          <w:sz w:val="32"/>
          <w:szCs w:val="32"/>
        </w:rPr>
        <w:t>〕</w:t>
      </w:r>
      <w:r>
        <w:rPr>
          <w:rFonts w:ascii="Times New Roman" w:eastAsia="仿宋" w:hAnsi="Times New Roman" w:cs="Times New Roman"/>
          <w:color w:val="000000"/>
          <w:kern w:val="0"/>
          <w:sz w:val="32"/>
          <w:szCs w:val="32"/>
        </w:rPr>
        <w:t>685</w:t>
      </w:r>
      <w:r>
        <w:rPr>
          <w:rFonts w:ascii="Times New Roman" w:eastAsia="仿宋" w:hAnsi="Times New Roman" w:cs="Times New Roman"/>
          <w:color w:val="000000"/>
          <w:kern w:val="0"/>
          <w:sz w:val="32"/>
          <w:szCs w:val="32"/>
        </w:rPr>
        <w:t>号</w:t>
      </w:r>
      <w:r>
        <w:rPr>
          <w:rFonts w:ascii="Times New Roman" w:eastAsia="仿宋" w:hAnsi="Times New Roman" w:cs="Times New Roman"/>
          <w:color w:val="000000"/>
          <w:kern w:val="0"/>
          <w:sz w:val="32"/>
          <w:szCs w:val="32"/>
        </w:rPr>
        <w:t>)</w:t>
      </w:r>
      <w:r>
        <w:rPr>
          <w:rFonts w:ascii="Times New Roman" w:eastAsia="仿宋" w:hAnsi="Times New Roman" w:cs="Times New Roman"/>
          <w:color w:val="000000"/>
          <w:kern w:val="0"/>
          <w:sz w:val="32"/>
          <w:szCs w:val="32"/>
        </w:rPr>
        <w:t>，南京市被财政部住建部列为第一批政府采购支持绿色建材促进建筑品质提升试点城市。</w:t>
      </w:r>
      <w:r>
        <w:rPr>
          <w:rFonts w:ascii="Times New Roman" w:eastAsia="仿宋" w:hAnsi="Times New Roman" w:cs="Times New Roman"/>
          <w:color w:val="000000"/>
          <w:kern w:val="0"/>
          <w:sz w:val="32"/>
          <w:szCs w:val="32"/>
        </w:rPr>
        <w:t>2022</w:t>
      </w:r>
      <w:r>
        <w:rPr>
          <w:rFonts w:ascii="Times New Roman" w:eastAsia="仿宋" w:hAnsi="Times New Roman" w:cs="Times New Roman"/>
          <w:color w:val="000000"/>
          <w:kern w:val="0"/>
          <w:sz w:val="32"/>
          <w:szCs w:val="32"/>
        </w:rPr>
        <w:t>年，财政部、住建部及工信部联合发布《关于扩大政府采购支持绿色建材促进建筑品质提升政策实施范围的通知》，南京市再次作为政府采购支持绿色建材促进建筑品质提升政策实施城市继续开展绿</w:t>
      </w:r>
      <w:proofErr w:type="gramStart"/>
      <w:r>
        <w:rPr>
          <w:rFonts w:ascii="Times New Roman" w:eastAsia="仿宋" w:hAnsi="Times New Roman" w:cs="Times New Roman"/>
          <w:color w:val="000000"/>
          <w:kern w:val="0"/>
          <w:sz w:val="32"/>
          <w:szCs w:val="32"/>
        </w:rPr>
        <w:t>材试点</w:t>
      </w:r>
      <w:proofErr w:type="gramEnd"/>
      <w:r>
        <w:rPr>
          <w:rFonts w:ascii="Times New Roman" w:eastAsia="仿宋" w:hAnsi="Times New Roman" w:cs="Times New Roman"/>
          <w:color w:val="000000"/>
          <w:kern w:val="0"/>
          <w:sz w:val="32"/>
          <w:szCs w:val="32"/>
        </w:rPr>
        <w:t>工作。为积极落实文件精神，</w:t>
      </w:r>
      <w:r>
        <w:rPr>
          <w:rFonts w:ascii="Times New Roman" w:eastAsia="仿宋" w:hAnsi="Times New Roman" w:cs="Times New Roman"/>
          <w:sz w:val="32"/>
          <w:szCs w:val="32"/>
        </w:rPr>
        <w:t>加快绿色建材推广应用，促进建筑品质提升，南京市在</w:t>
      </w:r>
      <w:r>
        <w:rPr>
          <w:rFonts w:ascii="Times New Roman" w:eastAsia="仿宋" w:hAnsi="Times New Roman" w:cs="Times New Roman"/>
          <w:sz w:val="32"/>
          <w:szCs w:val="32"/>
        </w:rPr>
        <w:t>2022</w:t>
      </w:r>
      <w:r>
        <w:rPr>
          <w:rFonts w:ascii="Times New Roman" w:eastAsia="仿宋" w:hAnsi="Times New Roman" w:cs="Times New Roman"/>
          <w:sz w:val="32"/>
          <w:szCs w:val="32"/>
        </w:rPr>
        <w:t>年至</w:t>
      </w:r>
      <w:r>
        <w:rPr>
          <w:rFonts w:ascii="Times New Roman" w:eastAsia="仿宋" w:hAnsi="Times New Roman" w:cs="Times New Roman"/>
          <w:sz w:val="32"/>
          <w:szCs w:val="32"/>
        </w:rPr>
        <w:t>2023</w:t>
      </w:r>
      <w:r>
        <w:rPr>
          <w:rFonts w:ascii="Times New Roman" w:eastAsia="仿宋" w:hAnsi="Times New Roman" w:cs="Times New Roman"/>
          <w:sz w:val="32"/>
          <w:szCs w:val="32"/>
        </w:rPr>
        <w:t>年间继续探索在</w:t>
      </w:r>
      <w:r>
        <w:rPr>
          <w:rFonts w:ascii="Times New Roman" w:eastAsia="仿宋" w:hAnsi="Times New Roman" w:cs="Times New Roman"/>
          <w:color w:val="000000"/>
          <w:kern w:val="0"/>
          <w:sz w:val="32"/>
          <w:szCs w:val="32"/>
        </w:rPr>
        <w:t>政府采购工程中支持绿色建材和绿色建筑推广应用的有效模式。通</w:t>
      </w:r>
      <w:r>
        <w:rPr>
          <w:rFonts w:ascii="Times New Roman" w:eastAsia="仿宋" w:hAnsi="Times New Roman" w:cs="Times New Roman"/>
          <w:sz w:val="32"/>
          <w:szCs w:val="32"/>
        </w:rPr>
        <w:t>过政府采购绿色建材试点，</w:t>
      </w:r>
      <w:r>
        <w:rPr>
          <w:rFonts w:ascii="Times New Roman" w:eastAsia="仿宋" w:hAnsi="Times New Roman" w:cs="Times New Roman"/>
          <w:color w:val="000000"/>
          <w:kern w:val="0"/>
          <w:sz w:val="32"/>
          <w:szCs w:val="32"/>
        </w:rPr>
        <w:t>深化</w:t>
      </w:r>
      <w:r>
        <w:rPr>
          <w:rFonts w:ascii="Times New Roman" w:eastAsia="仿宋" w:hAnsi="Times New Roman" w:cs="Times New Roman"/>
          <w:sz w:val="32"/>
          <w:szCs w:val="32"/>
        </w:rPr>
        <w:t>绿色建材应用管理体系，</w:t>
      </w:r>
      <w:r>
        <w:rPr>
          <w:rFonts w:ascii="Times New Roman" w:eastAsia="仿宋" w:hAnsi="Times New Roman" w:cs="Times New Roman"/>
          <w:color w:val="000000"/>
          <w:kern w:val="0"/>
          <w:sz w:val="32"/>
          <w:szCs w:val="32"/>
        </w:rPr>
        <w:t>加强绿色建材碳排放评估体系建设，提高绿色建材在政府采购工程中的比重；通过</w:t>
      </w:r>
      <w:r>
        <w:rPr>
          <w:rFonts w:ascii="Times New Roman" w:eastAsia="仿宋" w:hAnsi="Times New Roman" w:cs="Times New Roman"/>
          <w:sz w:val="32"/>
          <w:szCs w:val="32"/>
        </w:rPr>
        <w:t>细化和完善绿色建材应用比例核定，加快绿色建材推广应用，推动试点项目使用绿色建材达到一定比例；通过</w:t>
      </w:r>
      <w:r>
        <w:rPr>
          <w:rFonts w:ascii="Times New Roman" w:eastAsia="仿宋" w:hAnsi="Times New Roman" w:cs="Times New Roman"/>
          <w:sz w:val="32"/>
          <w:szCs w:val="32"/>
        </w:rPr>
        <w:lastRenderedPageBreak/>
        <w:t>加大宣传提升绿色建材社会认知度；通过配套能力课题研究探索绿色建材长效发展机制；通过绿色建材企业和示范</w:t>
      </w:r>
      <w:proofErr w:type="gramStart"/>
      <w:r>
        <w:rPr>
          <w:rFonts w:ascii="Times New Roman" w:eastAsia="仿宋" w:hAnsi="Times New Roman" w:cs="Times New Roman"/>
          <w:sz w:val="32"/>
          <w:szCs w:val="32"/>
        </w:rPr>
        <w:t>项目奖补引领</w:t>
      </w:r>
      <w:proofErr w:type="gramEnd"/>
      <w:r>
        <w:rPr>
          <w:rFonts w:ascii="Times New Roman" w:eastAsia="仿宋" w:hAnsi="Times New Roman" w:cs="Times New Roman"/>
          <w:sz w:val="32"/>
          <w:szCs w:val="32"/>
        </w:rPr>
        <w:t>，鼓励建材企业进行绿色低碳转型发展取得高星级产品认证，建成一批绿色建材应用建筑示范项目，推动城市建设高质量发展。</w:t>
      </w:r>
    </w:p>
    <w:p w:rsidR="00897864" w:rsidRDefault="002F74FC">
      <w:pPr>
        <w:widowControl/>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color w:val="000000"/>
          <w:kern w:val="0"/>
          <w:sz w:val="32"/>
          <w:szCs w:val="32"/>
        </w:rPr>
        <w:t>（二）项目资金情况</w:t>
      </w:r>
      <w:r>
        <w:rPr>
          <w:rFonts w:ascii="Times New Roman" w:eastAsia="楷体" w:hAnsi="Times New Roman" w:cs="Times New Roman"/>
          <w:color w:val="000000"/>
          <w:kern w:val="0"/>
          <w:sz w:val="32"/>
          <w:szCs w:val="32"/>
        </w:rPr>
        <w:t xml:space="preserve"> </w:t>
      </w:r>
    </w:p>
    <w:p w:rsidR="00897864" w:rsidRDefault="002F74FC">
      <w:pPr>
        <w:pStyle w:val="ac"/>
        <w:spacing w:line="560" w:lineRule="exact"/>
        <w:ind w:firstLineChars="201" w:firstLine="643"/>
        <w:rPr>
          <w:rFonts w:ascii="Times New Roman" w:eastAsia="仿宋" w:hAnsi="Times New Roman" w:cs="Times New Roman"/>
          <w:sz w:val="32"/>
          <w:szCs w:val="32"/>
        </w:rPr>
      </w:pPr>
      <w:r>
        <w:rPr>
          <w:rFonts w:ascii="Times New Roman" w:eastAsia="仿宋" w:hAnsi="Times New Roman" w:cs="Times New Roman"/>
          <w:sz w:val="32"/>
          <w:szCs w:val="32"/>
        </w:rPr>
        <w:t>2023</w:t>
      </w:r>
      <w:r>
        <w:rPr>
          <w:rFonts w:ascii="Times New Roman" w:eastAsia="仿宋" w:hAnsi="Times New Roman" w:cs="Times New Roman"/>
          <w:sz w:val="32"/>
          <w:szCs w:val="32"/>
        </w:rPr>
        <w:t>年度政府采购支持绿色建材促进建筑品质提升全国试点城市专项资金预算金额</w:t>
      </w:r>
      <w:r>
        <w:rPr>
          <w:rFonts w:ascii="Times New Roman" w:eastAsia="仿宋" w:hAnsi="Times New Roman" w:cs="Times New Roman"/>
          <w:sz w:val="32"/>
          <w:szCs w:val="32"/>
        </w:rPr>
        <w:t>685.64</w:t>
      </w:r>
      <w:r>
        <w:rPr>
          <w:rFonts w:ascii="Times New Roman" w:eastAsia="仿宋" w:hAnsi="Times New Roman" w:cs="Times New Roman"/>
          <w:sz w:val="32"/>
          <w:szCs w:val="32"/>
        </w:rPr>
        <w:t>万元，实际拨付</w:t>
      </w:r>
      <w:r>
        <w:rPr>
          <w:rFonts w:ascii="Times New Roman" w:eastAsia="仿宋" w:hAnsi="Times New Roman" w:cs="Times New Roman"/>
          <w:sz w:val="32"/>
          <w:szCs w:val="32"/>
        </w:rPr>
        <w:t xml:space="preserve">       334.42</w:t>
      </w:r>
      <w:r>
        <w:rPr>
          <w:rFonts w:ascii="Times New Roman" w:eastAsia="仿宋" w:hAnsi="Times New Roman" w:cs="Times New Roman"/>
          <w:sz w:val="32"/>
          <w:szCs w:val="32"/>
        </w:rPr>
        <w:t>万元，预算执行率</w:t>
      </w:r>
      <w:r>
        <w:rPr>
          <w:rFonts w:ascii="Times New Roman" w:eastAsia="仿宋" w:hAnsi="Times New Roman" w:cs="Times New Roman"/>
          <w:sz w:val="32"/>
          <w:szCs w:val="32"/>
        </w:rPr>
        <w:t>48.77%</w:t>
      </w:r>
      <w:r>
        <w:rPr>
          <w:rFonts w:ascii="Times New Roman" w:eastAsia="仿宋" w:hAnsi="Times New Roman" w:cs="Times New Roman"/>
          <w:sz w:val="32"/>
          <w:szCs w:val="32"/>
        </w:rPr>
        <w:t>。其中配套能力课题研究费用</w:t>
      </w:r>
      <w:r>
        <w:rPr>
          <w:rFonts w:ascii="Times New Roman" w:eastAsia="仿宋" w:hAnsi="Times New Roman" w:cs="Times New Roman"/>
          <w:sz w:val="32"/>
          <w:szCs w:val="32"/>
        </w:rPr>
        <w:t>54.13</w:t>
      </w:r>
      <w:r>
        <w:rPr>
          <w:rFonts w:ascii="Times New Roman" w:eastAsia="仿宋" w:hAnsi="Times New Roman" w:cs="Times New Roman"/>
          <w:sz w:val="32"/>
          <w:szCs w:val="32"/>
        </w:rPr>
        <w:t>万元，绿色建材登记软件功能深化、运行及维护费用</w:t>
      </w:r>
      <w:r>
        <w:rPr>
          <w:rFonts w:ascii="Times New Roman" w:eastAsia="仿宋" w:hAnsi="Times New Roman" w:cs="Times New Roman"/>
          <w:sz w:val="32"/>
          <w:szCs w:val="32"/>
        </w:rPr>
        <w:t>33.3</w:t>
      </w:r>
      <w:r>
        <w:rPr>
          <w:rFonts w:ascii="Times New Roman" w:eastAsia="仿宋" w:hAnsi="Times New Roman" w:cs="Times New Roman"/>
          <w:sz w:val="32"/>
          <w:szCs w:val="32"/>
        </w:rPr>
        <w:t>万元，绿色建材应用比例核定工作</w:t>
      </w:r>
      <w:r>
        <w:rPr>
          <w:rFonts w:ascii="Times New Roman" w:eastAsia="仿宋" w:hAnsi="Times New Roman" w:cs="Times New Roman"/>
          <w:sz w:val="32"/>
          <w:szCs w:val="32"/>
        </w:rPr>
        <w:t>48.34</w:t>
      </w:r>
      <w:r>
        <w:rPr>
          <w:rFonts w:ascii="Times New Roman" w:eastAsia="仿宋" w:hAnsi="Times New Roman" w:cs="Times New Roman"/>
          <w:sz w:val="32"/>
          <w:szCs w:val="32"/>
        </w:rPr>
        <w:t>万元，绿色建材宣传及会议费用</w:t>
      </w:r>
      <w:r>
        <w:rPr>
          <w:rFonts w:ascii="Times New Roman" w:eastAsia="仿宋" w:hAnsi="Times New Roman" w:cs="Times New Roman"/>
          <w:sz w:val="32"/>
          <w:szCs w:val="32"/>
        </w:rPr>
        <w:t>18.65</w:t>
      </w:r>
      <w:r>
        <w:rPr>
          <w:rFonts w:ascii="Times New Roman" w:eastAsia="仿宋" w:hAnsi="Times New Roman" w:cs="Times New Roman"/>
          <w:sz w:val="32"/>
          <w:szCs w:val="32"/>
        </w:rPr>
        <w:t>万元，绿色建材认证</w:t>
      </w:r>
      <w:proofErr w:type="gramStart"/>
      <w:r>
        <w:rPr>
          <w:rFonts w:ascii="Times New Roman" w:eastAsia="仿宋" w:hAnsi="Times New Roman" w:cs="Times New Roman"/>
          <w:sz w:val="32"/>
          <w:szCs w:val="32"/>
        </w:rPr>
        <w:t>企业奖补资金</w:t>
      </w:r>
      <w:proofErr w:type="gramEnd"/>
      <w:r>
        <w:rPr>
          <w:rFonts w:ascii="Times New Roman" w:eastAsia="仿宋" w:hAnsi="Times New Roman" w:cs="Times New Roman"/>
          <w:sz w:val="32"/>
          <w:szCs w:val="32"/>
        </w:rPr>
        <w:t>80</w:t>
      </w:r>
      <w:r>
        <w:rPr>
          <w:rFonts w:ascii="Times New Roman" w:eastAsia="仿宋" w:hAnsi="Times New Roman" w:cs="Times New Roman"/>
          <w:sz w:val="32"/>
          <w:szCs w:val="32"/>
        </w:rPr>
        <w:t>万元，绿色建材示范</w:t>
      </w:r>
      <w:proofErr w:type="gramStart"/>
      <w:r>
        <w:rPr>
          <w:rFonts w:ascii="Times New Roman" w:eastAsia="仿宋" w:hAnsi="Times New Roman" w:cs="Times New Roman"/>
          <w:sz w:val="32"/>
          <w:szCs w:val="32"/>
        </w:rPr>
        <w:t>项目奖补资金</w:t>
      </w:r>
      <w:proofErr w:type="gramEnd"/>
      <w:r>
        <w:rPr>
          <w:rFonts w:ascii="Times New Roman" w:eastAsia="仿宋" w:hAnsi="Times New Roman" w:cs="Times New Roman"/>
          <w:sz w:val="32"/>
          <w:szCs w:val="32"/>
        </w:rPr>
        <w:t>100</w:t>
      </w:r>
      <w:r>
        <w:rPr>
          <w:rFonts w:ascii="Times New Roman" w:eastAsia="仿宋" w:hAnsi="Times New Roman" w:cs="Times New Roman"/>
          <w:sz w:val="32"/>
          <w:szCs w:val="32"/>
        </w:rPr>
        <w:t>万元。</w:t>
      </w:r>
    </w:p>
    <w:p w:rsidR="00897864" w:rsidRDefault="002F74FC">
      <w:pPr>
        <w:widowControl/>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（三）绩效目标</w:t>
      </w:r>
      <w:r>
        <w:rPr>
          <w:rFonts w:ascii="Times New Roman" w:eastAsia="楷体" w:hAnsi="Times New Roman" w:cs="Times New Roman"/>
          <w:sz w:val="32"/>
          <w:szCs w:val="32"/>
        </w:rPr>
        <w:t xml:space="preserve"> </w:t>
      </w:r>
    </w:p>
    <w:p w:rsidR="00897864" w:rsidRDefault="002F74FC">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年度目标：细化和完善南京市绿色建材应用核定标准，完成</w:t>
      </w:r>
      <w:r>
        <w:rPr>
          <w:rFonts w:ascii="Times New Roman" w:eastAsia="仿宋" w:hAnsi="Times New Roman" w:cs="Times New Roman"/>
          <w:color w:val="000000" w:themeColor="text1"/>
          <w:sz w:val="32"/>
          <w:szCs w:val="32"/>
        </w:rPr>
        <w:t>15</w:t>
      </w:r>
      <w:r>
        <w:rPr>
          <w:rFonts w:ascii="Times New Roman" w:eastAsia="仿宋" w:hAnsi="Times New Roman" w:cs="Times New Roman"/>
          <w:color w:val="000000" w:themeColor="text1"/>
          <w:sz w:val="32"/>
          <w:szCs w:val="32"/>
        </w:rPr>
        <w:t>个项目绿色建材应用比例核定工作；加快绿色建材推广应用，推动试点项目使用绿色建材比例超过</w:t>
      </w:r>
      <w:r>
        <w:rPr>
          <w:rFonts w:ascii="Times New Roman" w:eastAsia="仿宋" w:hAnsi="Times New Roman" w:cs="Times New Roman"/>
          <w:color w:val="000000" w:themeColor="text1"/>
          <w:sz w:val="32"/>
          <w:szCs w:val="32"/>
        </w:rPr>
        <w:t>50%</w:t>
      </w:r>
      <w:r>
        <w:rPr>
          <w:rFonts w:ascii="Times New Roman" w:eastAsia="仿宋" w:hAnsi="Times New Roman" w:cs="Times New Roman"/>
          <w:color w:val="000000" w:themeColor="text1"/>
          <w:sz w:val="32"/>
          <w:szCs w:val="32"/>
        </w:rPr>
        <w:t>项目</w:t>
      </w:r>
      <w:r>
        <w:rPr>
          <w:rFonts w:ascii="Times New Roman" w:eastAsia="仿宋" w:hAnsi="Times New Roman" w:cs="Times New Roman"/>
          <w:color w:val="000000" w:themeColor="text1"/>
          <w:sz w:val="32"/>
          <w:szCs w:val="32"/>
        </w:rPr>
        <w:t>5</w:t>
      </w:r>
      <w:r>
        <w:rPr>
          <w:rFonts w:ascii="Times New Roman" w:eastAsia="仿宋" w:hAnsi="Times New Roman" w:cs="Times New Roman"/>
          <w:color w:val="000000" w:themeColor="text1"/>
          <w:sz w:val="32"/>
          <w:szCs w:val="32"/>
        </w:rPr>
        <w:t>个；促进</w:t>
      </w:r>
      <w:r>
        <w:rPr>
          <w:rFonts w:ascii="Times New Roman" w:eastAsia="仿宋" w:hAnsi="Times New Roman" w:cs="Times New Roman"/>
          <w:color w:val="000000" w:themeColor="text1"/>
          <w:sz w:val="32"/>
          <w:szCs w:val="32"/>
        </w:rPr>
        <w:t>8</w:t>
      </w:r>
      <w:r>
        <w:rPr>
          <w:rFonts w:ascii="Times New Roman" w:eastAsia="仿宋" w:hAnsi="Times New Roman" w:cs="Times New Roman"/>
          <w:color w:val="000000" w:themeColor="text1"/>
          <w:sz w:val="32"/>
          <w:szCs w:val="32"/>
        </w:rPr>
        <w:t>家建材企业产品取得绿色建材产品认证；加强绿色建材碳排放评估体系建设；开展绿色建材相关政策理论和技术体系研究，完成</w:t>
      </w:r>
      <w:r>
        <w:rPr>
          <w:rFonts w:ascii="Times New Roman" w:eastAsia="仿宋" w:hAnsi="Times New Roman" w:cs="Times New Roman"/>
          <w:color w:val="000000" w:themeColor="text1"/>
          <w:sz w:val="32"/>
          <w:szCs w:val="32"/>
        </w:rPr>
        <w:t>5</w:t>
      </w:r>
      <w:r>
        <w:rPr>
          <w:rFonts w:ascii="Times New Roman" w:eastAsia="仿宋" w:hAnsi="Times New Roman" w:cs="Times New Roman"/>
          <w:color w:val="000000" w:themeColor="text1"/>
          <w:sz w:val="32"/>
          <w:szCs w:val="32"/>
        </w:rPr>
        <w:t>个课题项目；多种方式加大绿色建材宣传培训力度，开展</w:t>
      </w:r>
      <w:r>
        <w:rPr>
          <w:rFonts w:ascii="Times New Roman" w:eastAsia="仿宋" w:hAnsi="Times New Roman" w:cs="Times New Roman"/>
          <w:color w:val="000000" w:themeColor="text1"/>
          <w:sz w:val="32"/>
          <w:szCs w:val="32"/>
        </w:rPr>
        <w:t>3</w:t>
      </w:r>
      <w:r>
        <w:rPr>
          <w:rFonts w:ascii="Times New Roman" w:eastAsia="仿宋" w:hAnsi="Times New Roman" w:cs="Times New Roman"/>
          <w:color w:val="000000" w:themeColor="text1"/>
          <w:sz w:val="32"/>
          <w:szCs w:val="32"/>
        </w:rPr>
        <w:t>场行业培训及交流活动，提高社会认知度。</w:t>
      </w:r>
    </w:p>
    <w:p w:rsidR="00897864" w:rsidRDefault="002F74FC">
      <w:pPr>
        <w:widowControl/>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kern w:val="0"/>
          <w:sz w:val="32"/>
          <w:szCs w:val="32"/>
        </w:rPr>
        <w:t>中长期目标：建立健全南京市绿色建筑和绿色建材政府采购需求标准，提升绿色建材在绿色建筑中的应用比例，加</w:t>
      </w:r>
      <w:r>
        <w:rPr>
          <w:rFonts w:ascii="Times New Roman" w:eastAsia="仿宋" w:hAnsi="Times New Roman" w:cs="Times New Roman"/>
          <w:kern w:val="0"/>
          <w:sz w:val="32"/>
          <w:szCs w:val="32"/>
        </w:rPr>
        <w:lastRenderedPageBreak/>
        <w:t>快绿色建材推广应用，逐步从政府投资项目拓展到社会项目，促进绿色生产和绿色消费，推动城市建设高质量发展。</w:t>
      </w:r>
    </w:p>
    <w:p w:rsidR="00897864" w:rsidRDefault="002F74FC">
      <w:pPr>
        <w:widowControl/>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color w:val="000000"/>
          <w:kern w:val="0"/>
          <w:sz w:val="32"/>
          <w:szCs w:val="32"/>
        </w:rPr>
        <w:t>二、评价结论</w:t>
      </w:r>
      <w:r>
        <w:rPr>
          <w:rFonts w:ascii="Times New Roman" w:eastAsia="黑体" w:hAnsi="Times New Roman" w:cs="Times New Roman"/>
          <w:color w:val="000000"/>
          <w:kern w:val="0"/>
          <w:sz w:val="32"/>
          <w:szCs w:val="32"/>
        </w:rPr>
        <w:t xml:space="preserve"> </w:t>
      </w:r>
    </w:p>
    <w:p w:rsidR="00897864" w:rsidRDefault="002F74FC">
      <w:pPr>
        <w:pStyle w:val="ac"/>
        <w:spacing w:line="560" w:lineRule="exact"/>
        <w:ind w:firstLineChars="221" w:firstLine="707"/>
        <w:rPr>
          <w:rFonts w:ascii="Times New Roman" w:eastAsia="仿宋" w:hAnsi="Times New Roman" w:cs="Times New Roman"/>
          <w:color w:val="000000" w:themeColor="text1"/>
          <w:sz w:val="32"/>
          <w:szCs w:val="32"/>
        </w:rPr>
      </w:pPr>
      <w:r>
        <w:rPr>
          <w:rFonts w:ascii="Times New Roman" w:eastAsia="仿宋" w:hAnsi="Times New Roman" w:cs="Times New Roman"/>
          <w:sz w:val="32"/>
          <w:szCs w:val="32"/>
        </w:rPr>
        <w:t>对</w:t>
      </w:r>
      <w:r>
        <w:rPr>
          <w:rFonts w:ascii="Times New Roman" w:eastAsia="仿宋" w:hAnsi="Times New Roman" w:cs="Times New Roman"/>
          <w:sz w:val="32"/>
          <w:szCs w:val="32"/>
        </w:rPr>
        <w:t>2023</w:t>
      </w:r>
      <w:r>
        <w:rPr>
          <w:rFonts w:ascii="Times New Roman" w:eastAsia="仿宋" w:hAnsi="Times New Roman" w:cs="Times New Roman"/>
          <w:sz w:val="32"/>
          <w:szCs w:val="32"/>
        </w:rPr>
        <w:t>年度</w:t>
      </w:r>
      <w:r>
        <w:rPr>
          <w:rFonts w:ascii="Times New Roman" w:eastAsia="仿宋" w:hAnsi="Times New Roman" w:cs="Times New Roman"/>
          <w:color w:val="000000" w:themeColor="text1"/>
          <w:sz w:val="32"/>
          <w:szCs w:val="32"/>
        </w:rPr>
        <w:t>政府采购支持绿色建材促进建筑品质提升全国试点城市专项资金的预算编制、预算执行、管理过程、项目绩效等情况，通过资料</w:t>
      </w:r>
      <w:r>
        <w:rPr>
          <w:rFonts w:ascii="Times New Roman" w:eastAsia="仿宋" w:hAnsi="Times New Roman" w:cs="Times New Roman"/>
          <w:sz w:val="32"/>
          <w:szCs w:val="32"/>
        </w:rPr>
        <w:t>收集、整理数据、分析汇总，</w:t>
      </w:r>
      <w:r>
        <w:rPr>
          <w:rFonts w:ascii="Times New Roman" w:eastAsia="仿宋" w:hAnsi="Times New Roman" w:cs="Times New Roman"/>
          <w:color w:val="000000" w:themeColor="text1"/>
          <w:sz w:val="32"/>
          <w:szCs w:val="32"/>
        </w:rPr>
        <w:t>打分并形成评价结论。经评价，本项目绩效评价得分</w:t>
      </w:r>
      <w:r>
        <w:rPr>
          <w:rFonts w:ascii="Times New Roman" w:eastAsia="仿宋" w:hAnsi="Times New Roman" w:cs="Times New Roman"/>
          <w:color w:val="000000" w:themeColor="text1"/>
          <w:sz w:val="32"/>
          <w:szCs w:val="32"/>
        </w:rPr>
        <w:t>91.5</w:t>
      </w:r>
      <w:r>
        <w:rPr>
          <w:rFonts w:ascii="Times New Roman" w:eastAsia="仿宋" w:hAnsi="Times New Roman" w:cs="Times New Roman"/>
          <w:color w:val="000000" w:themeColor="text1"/>
          <w:sz w:val="32"/>
          <w:szCs w:val="32"/>
        </w:rPr>
        <w:t>分，等级为优秀（《</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年度政府采购支持绿色建材促进建筑品质提升全国试点城市专项资金绩效综合评分表》见附件）。</w:t>
      </w:r>
    </w:p>
    <w:p w:rsidR="00897864" w:rsidRDefault="002F74FC">
      <w:pPr>
        <w:pStyle w:val="ac"/>
        <w:spacing w:line="560" w:lineRule="exact"/>
        <w:ind w:firstLineChars="221" w:firstLine="707"/>
        <w:rPr>
          <w:rFonts w:ascii="Times New Roman" w:eastAsia="仿宋" w:hAnsi="Times New Roman" w:cs="Times New Roman"/>
          <w:color w:val="FF0000"/>
          <w:sz w:val="32"/>
          <w:szCs w:val="32"/>
        </w:rPr>
      </w:pP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年度政府采购支持绿色建材促进建筑品质提升全国试点城市专项资金项目立项程序规范，组织实施手续完备，工作任务基本完成，取得较好的成效，主要体现在：</w:t>
      </w:r>
      <w:r>
        <w:rPr>
          <w:rFonts w:ascii="Times New Roman" w:eastAsia="仿宋" w:hAnsi="Times New Roman" w:cs="Times New Roman"/>
          <w:sz w:val="32"/>
          <w:szCs w:val="32"/>
        </w:rPr>
        <w:t>确立了政府采购工程中支持绿色建材推广应用的有效管理模式，建立了覆盖工程设计、建材采购到项目验收全流程的绿色建材应用机制，建成了一批绿色建材示范工程项目、推进一批本地建材企业绿色转型。</w:t>
      </w:r>
      <w:r>
        <w:rPr>
          <w:rFonts w:ascii="Times New Roman" w:eastAsia="仿宋" w:hAnsi="Times New Roman" w:cs="Times New Roman"/>
          <w:color w:val="000000" w:themeColor="text1"/>
          <w:sz w:val="32"/>
          <w:szCs w:val="32"/>
        </w:rPr>
        <w:t>项目实施过程中也存在不足，如：预算执行率偏低、以</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多算合一</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系统成果推进绿色金融信贷工作没能做深做实、推动我市建筑领域降低碳排放的效果不够明显、促进绿色建材发展，助</w:t>
      </w:r>
      <w:proofErr w:type="gramStart"/>
      <w:r>
        <w:rPr>
          <w:rFonts w:ascii="Times New Roman" w:eastAsia="仿宋" w:hAnsi="Times New Roman" w:cs="Times New Roman"/>
          <w:color w:val="000000" w:themeColor="text1"/>
          <w:sz w:val="32"/>
          <w:szCs w:val="32"/>
        </w:rPr>
        <w:t>推建筑</w:t>
      </w:r>
      <w:proofErr w:type="gramEnd"/>
      <w:r>
        <w:rPr>
          <w:rFonts w:ascii="Times New Roman" w:eastAsia="仿宋" w:hAnsi="Times New Roman" w:cs="Times New Roman"/>
          <w:color w:val="000000" w:themeColor="text1"/>
          <w:sz w:val="32"/>
          <w:szCs w:val="32"/>
        </w:rPr>
        <w:t>品质提升方面力度还不够等。</w:t>
      </w:r>
    </w:p>
    <w:p w:rsidR="00897864" w:rsidRDefault="002F74FC">
      <w:pPr>
        <w:widowControl/>
        <w:spacing w:line="560" w:lineRule="exact"/>
        <w:ind w:firstLineChars="200" w:firstLine="640"/>
        <w:rPr>
          <w:rFonts w:ascii="Times New Roman" w:eastAsia="黑体" w:hAnsi="Times New Roman" w:cs="Times New Roman"/>
          <w:color w:val="000000" w:themeColor="text1"/>
          <w:kern w:val="0"/>
          <w:sz w:val="32"/>
          <w:szCs w:val="32"/>
        </w:rPr>
      </w:pPr>
      <w:r>
        <w:rPr>
          <w:rFonts w:ascii="Times New Roman" w:eastAsia="黑体" w:hAnsi="Times New Roman" w:cs="Times New Roman"/>
          <w:color w:val="000000" w:themeColor="text1"/>
          <w:kern w:val="0"/>
          <w:sz w:val="32"/>
          <w:szCs w:val="32"/>
        </w:rPr>
        <w:t>三、项目成效</w:t>
      </w:r>
      <w:r>
        <w:rPr>
          <w:rFonts w:ascii="Times New Roman" w:eastAsia="黑体" w:hAnsi="Times New Roman" w:cs="Times New Roman"/>
          <w:color w:val="000000" w:themeColor="text1"/>
          <w:kern w:val="0"/>
          <w:sz w:val="32"/>
          <w:szCs w:val="32"/>
        </w:rPr>
        <w:t xml:space="preserve"> </w:t>
      </w:r>
    </w:p>
    <w:p w:rsidR="00897864" w:rsidRDefault="002F74FC">
      <w:pPr>
        <w:pStyle w:val="ac"/>
        <w:spacing w:line="560" w:lineRule="exact"/>
        <w:ind w:firstLine="640"/>
        <w:rPr>
          <w:rFonts w:ascii="Times New Roman" w:eastAsia="仿宋" w:hAnsi="Times New Roman" w:cs="Times New Roman"/>
          <w:color w:val="000000" w:themeColor="text1"/>
          <w:sz w:val="32"/>
          <w:szCs w:val="32"/>
        </w:rPr>
      </w:pPr>
      <w:r>
        <w:rPr>
          <w:rFonts w:ascii="Times New Roman" w:eastAsia="楷体" w:hAnsi="Times New Roman" w:cs="Times New Roman"/>
          <w:color w:val="000000" w:themeColor="text1"/>
          <w:sz w:val="32"/>
          <w:szCs w:val="32"/>
        </w:rPr>
        <w:t>（一）建成一批绿色建材示范工程项目。</w:t>
      </w:r>
      <w:r>
        <w:rPr>
          <w:rFonts w:ascii="Times New Roman" w:eastAsia="仿宋" w:hAnsi="Times New Roman" w:cs="Times New Roman"/>
          <w:color w:val="000000" w:themeColor="text1"/>
          <w:sz w:val="32"/>
          <w:szCs w:val="32"/>
        </w:rPr>
        <w:t>试点期间确定包括政府投资和企业自</w:t>
      </w:r>
      <w:proofErr w:type="gramStart"/>
      <w:r>
        <w:rPr>
          <w:rFonts w:ascii="Times New Roman" w:eastAsia="仿宋" w:hAnsi="Times New Roman" w:cs="Times New Roman"/>
          <w:color w:val="000000" w:themeColor="text1"/>
          <w:sz w:val="32"/>
          <w:szCs w:val="32"/>
        </w:rPr>
        <w:t>建两种</w:t>
      </w:r>
      <w:proofErr w:type="gramEnd"/>
      <w:r>
        <w:rPr>
          <w:rFonts w:ascii="Times New Roman" w:eastAsia="仿宋" w:hAnsi="Times New Roman" w:cs="Times New Roman"/>
          <w:color w:val="000000" w:themeColor="text1"/>
          <w:sz w:val="32"/>
          <w:szCs w:val="32"/>
        </w:rPr>
        <w:t>类型的学校、医院、保障房等试点工程项目</w:t>
      </w:r>
      <w:r>
        <w:rPr>
          <w:rFonts w:ascii="Times New Roman" w:eastAsia="仿宋" w:hAnsi="Times New Roman" w:cs="Times New Roman"/>
          <w:color w:val="000000" w:themeColor="text1"/>
          <w:sz w:val="32"/>
          <w:szCs w:val="32"/>
        </w:rPr>
        <w:t>39</w:t>
      </w:r>
      <w:r>
        <w:rPr>
          <w:rFonts w:ascii="Times New Roman" w:eastAsia="仿宋" w:hAnsi="Times New Roman" w:cs="Times New Roman"/>
          <w:color w:val="000000" w:themeColor="text1"/>
          <w:sz w:val="32"/>
          <w:szCs w:val="32"/>
        </w:rPr>
        <w:t>个，总建筑面积</w:t>
      </w:r>
      <w:r>
        <w:rPr>
          <w:rFonts w:ascii="Times New Roman" w:eastAsia="仿宋" w:hAnsi="Times New Roman" w:cs="Times New Roman"/>
          <w:color w:val="000000" w:themeColor="text1"/>
          <w:sz w:val="32"/>
          <w:szCs w:val="32"/>
        </w:rPr>
        <w:t>438</w:t>
      </w:r>
      <w:r>
        <w:rPr>
          <w:rFonts w:ascii="Times New Roman" w:eastAsia="仿宋" w:hAnsi="Times New Roman" w:cs="Times New Roman"/>
          <w:color w:val="000000" w:themeColor="text1"/>
          <w:sz w:val="32"/>
          <w:szCs w:val="32"/>
        </w:rPr>
        <w:t>万平方米，总投资</w:t>
      </w:r>
      <w:r>
        <w:rPr>
          <w:rFonts w:ascii="Times New Roman" w:eastAsia="仿宋" w:hAnsi="Times New Roman" w:cs="Times New Roman"/>
          <w:color w:val="000000" w:themeColor="text1"/>
          <w:sz w:val="32"/>
          <w:szCs w:val="32"/>
        </w:rPr>
        <w:t>367</w:t>
      </w:r>
      <w:r>
        <w:rPr>
          <w:rFonts w:ascii="Times New Roman" w:eastAsia="仿宋" w:hAnsi="Times New Roman" w:cs="Times New Roman"/>
          <w:color w:val="000000" w:themeColor="text1"/>
          <w:sz w:val="32"/>
          <w:szCs w:val="32"/>
        </w:rPr>
        <w:lastRenderedPageBreak/>
        <w:t>亿元，截止</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年年底已有</w:t>
      </w:r>
      <w:r>
        <w:rPr>
          <w:rFonts w:ascii="Times New Roman" w:eastAsia="仿宋" w:hAnsi="Times New Roman" w:cs="Times New Roman"/>
          <w:color w:val="000000" w:themeColor="text1"/>
          <w:sz w:val="32"/>
          <w:szCs w:val="32"/>
        </w:rPr>
        <w:t>20</w:t>
      </w:r>
      <w:r>
        <w:rPr>
          <w:rFonts w:ascii="Times New Roman" w:eastAsia="仿宋" w:hAnsi="Times New Roman" w:cs="Times New Roman"/>
          <w:color w:val="000000" w:themeColor="text1"/>
          <w:sz w:val="32"/>
          <w:szCs w:val="32"/>
        </w:rPr>
        <w:t>个项目完成竣工验收及绿色建材应用比例核定工作，其中</w:t>
      </w:r>
      <w:r>
        <w:rPr>
          <w:rFonts w:ascii="Times New Roman" w:eastAsia="仿宋" w:hAnsi="Times New Roman" w:cs="Times New Roman"/>
          <w:color w:val="000000" w:themeColor="text1"/>
          <w:sz w:val="32"/>
          <w:szCs w:val="32"/>
        </w:rPr>
        <w:t>13</w:t>
      </w:r>
      <w:r>
        <w:rPr>
          <w:rFonts w:ascii="Times New Roman" w:eastAsia="仿宋" w:hAnsi="Times New Roman" w:cs="Times New Roman"/>
          <w:color w:val="000000" w:themeColor="text1"/>
          <w:sz w:val="32"/>
          <w:szCs w:val="32"/>
        </w:rPr>
        <w:t>个项目绿色建材应用比例超过</w:t>
      </w:r>
      <w:r>
        <w:rPr>
          <w:rFonts w:ascii="Times New Roman" w:eastAsia="仿宋" w:hAnsi="Times New Roman" w:cs="Times New Roman"/>
          <w:color w:val="000000" w:themeColor="text1"/>
          <w:sz w:val="32"/>
          <w:szCs w:val="32"/>
        </w:rPr>
        <w:t>50%</w:t>
      </w:r>
      <w:r>
        <w:rPr>
          <w:rFonts w:ascii="Times New Roman" w:eastAsia="仿宋" w:hAnsi="Times New Roman" w:cs="Times New Roman"/>
          <w:color w:val="000000" w:themeColor="text1"/>
          <w:sz w:val="32"/>
          <w:szCs w:val="32"/>
        </w:rPr>
        <w:t>。</w:t>
      </w:r>
    </w:p>
    <w:p w:rsidR="00897864" w:rsidRDefault="002F74FC">
      <w:pPr>
        <w:pStyle w:val="ac"/>
        <w:spacing w:line="560" w:lineRule="exact"/>
        <w:ind w:firstLine="640"/>
        <w:rPr>
          <w:rFonts w:ascii="Times New Roman" w:eastAsia="仿宋_GB2312" w:hAnsi="Times New Roman" w:cs="Times New Roman"/>
          <w:color w:val="000000" w:themeColor="text1"/>
          <w:sz w:val="32"/>
          <w:szCs w:val="32"/>
        </w:rPr>
      </w:pPr>
      <w:r>
        <w:rPr>
          <w:rFonts w:ascii="Times New Roman" w:eastAsia="楷体" w:hAnsi="Times New Roman" w:cs="Times New Roman"/>
          <w:color w:val="000000" w:themeColor="text1"/>
          <w:sz w:val="32"/>
          <w:szCs w:val="32"/>
        </w:rPr>
        <w:t>（二）推进一批我市建材企业绿色转型。</w:t>
      </w:r>
      <w:r>
        <w:rPr>
          <w:rFonts w:ascii="Times New Roman" w:eastAsia="仿宋" w:hAnsi="Times New Roman" w:cs="Times New Roman"/>
          <w:color w:val="000000" w:themeColor="text1"/>
          <w:sz w:val="32"/>
          <w:szCs w:val="32"/>
        </w:rPr>
        <w:t>引导</w:t>
      </w:r>
      <w:r>
        <w:rPr>
          <w:rFonts w:ascii="Times New Roman" w:eastAsia="仿宋" w:hAnsi="Times New Roman" w:cs="Times New Roman"/>
          <w:color w:val="000000" w:themeColor="text1"/>
          <w:sz w:val="32"/>
          <w:szCs w:val="32"/>
        </w:rPr>
        <w:t>17</w:t>
      </w:r>
      <w:r>
        <w:rPr>
          <w:rFonts w:ascii="Times New Roman" w:eastAsia="仿宋" w:hAnsi="Times New Roman" w:cs="Times New Roman"/>
          <w:color w:val="000000" w:themeColor="text1"/>
          <w:sz w:val="32"/>
          <w:szCs w:val="32"/>
        </w:rPr>
        <w:t>家我市建材生产企业开展绿色转型升级，先后有</w:t>
      </w:r>
      <w:r>
        <w:rPr>
          <w:rFonts w:ascii="Times New Roman" w:eastAsia="仿宋" w:hAnsi="Times New Roman" w:cs="Times New Roman"/>
          <w:color w:val="000000" w:themeColor="text1"/>
          <w:sz w:val="32"/>
          <w:szCs w:val="32"/>
        </w:rPr>
        <w:t>37</w:t>
      </w:r>
      <w:r>
        <w:rPr>
          <w:rFonts w:ascii="Times New Roman" w:eastAsia="仿宋" w:hAnsi="Times New Roman" w:cs="Times New Roman"/>
          <w:color w:val="000000" w:themeColor="text1"/>
          <w:sz w:val="32"/>
          <w:szCs w:val="32"/>
        </w:rPr>
        <w:t>个产品通过国家绿色建材认证。推荐本市</w:t>
      </w:r>
      <w:r>
        <w:rPr>
          <w:rFonts w:ascii="Times New Roman" w:eastAsia="仿宋" w:hAnsi="Times New Roman" w:cs="Times New Roman"/>
          <w:color w:val="000000" w:themeColor="text1"/>
          <w:sz w:val="32"/>
          <w:szCs w:val="32"/>
        </w:rPr>
        <w:t>8</w:t>
      </w:r>
      <w:r>
        <w:rPr>
          <w:rFonts w:ascii="Times New Roman" w:eastAsia="仿宋" w:hAnsi="Times New Roman" w:cs="Times New Roman"/>
          <w:color w:val="000000" w:themeColor="text1"/>
          <w:sz w:val="32"/>
          <w:szCs w:val="32"/>
        </w:rPr>
        <w:t>家企业进入住房和城乡建设部科技与产业化发展中心《绿色建材低碳技术与产品案例（第一批）》名单。同步建立绿色建材线上、线下展示平台，线下展厅已纳入国内</w:t>
      </w:r>
      <w:r>
        <w:rPr>
          <w:rFonts w:ascii="Times New Roman" w:eastAsia="仿宋" w:hAnsi="Times New Roman" w:cs="Times New Roman"/>
          <w:color w:val="000000" w:themeColor="text1"/>
          <w:sz w:val="32"/>
          <w:szCs w:val="32"/>
        </w:rPr>
        <w:t>44</w:t>
      </w:r>
      <w:r>
        <w:rPr>
          <w:rFonts w:ascii="Times New Roman" w:eastAsia="仿宋" w:hAnsi="Times New Roman" w:cs="Times New Roman"/>
          <w:color w:val="000000" w:themeColor="text1"/>
          <w:sz w:val="32"/>
          <w:szCs w:val="32"/>
        </w:rPr>
        <w:t>个厂家的</w:t>
      </w:r>
      <w:r>
        <w:rPr>
          <w:rFonts w:ascii="Times New Roman" w:eastAsia="仿宋" w:hAnsi="Times New Roman" w:cs="Times New Roman"/>
          <w:color w:val="000000" w:themeColor="text1"/>
          <w:sz w:val="32"/>
          <w:szCs w:val="32"/>
        </w:rPr>
        <w:t>198</w:t>
      </w:r>
      <w:r>
        <w:rPr>
          <w:rFonts w:ascii="Times New Roman" w:eastAsia="仿宋" w:hAnsi="Times New Roman" w:cs="Times New Roman"/>
          <w:color w:val="000000" w:themeColor="text1"/>
          <w:sz w:val="32"/>
          <w:szCs w:val="32"/>
        </w:rPr>
        <w:t>个绿色建材产品实物。</w:t>
      </w:r>
    </w:p>
    <w:p w:rsidR="00897864" w:rsidRDefault="002F74FC">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楷体" w:hAnsi="Times New Roman" w:cs="Times New Roman"/>
          <w:color w:val="000000" w:themeColor="text1"/>
          <w:sz w:val="32"/>
          <w:szCs w:val="32"/>
        </w:rPr>
        <w:t>（三）加强财政激励引导。</w:t>
      </w:r>
      <w:r>
        <w:rPr>
          <w:rFonts w:ascii="Times New Roman" w:eastAsia="仿宋" w:hAnsi="Times New Roman" w:cs="Times New Roman"/>
          <w:color w:val="000000" w:themeColor="text1"/>
          <w:sz w:val="32"/>
          <w:szCs w:val="32"/>
        </w:rPr>
        <w:t>根据相关奖补办法，对我市</w:t>
      </w:r>
      <w:r>
        <w:rPr>
          <w:rFonts w:ascii="Times New Roman" w:eastAsia="仿宋" w:hAnsi="Times New Roman" w:cs="Times New Roman"/>
          <w:color w:val="000000" w:themeColor="text1"/>
          <w:sz w:val="32"/>
          <w:szCs w:val="32"/>
        </w:rPr>
        <w:t>8</w:t>
      </w:r>
      <w:r>
        <w:rPr>
          <w:rFonts w:ascii="Times New Roman" w:eastAsia="仿宋" w:hAnsi="Times New Roman" w:cs="Times New Roman"/>
          <w:color w:val="000000" w:themeColor="text1"/>
          <w:sz w:val="32"/>
          <w:szCs w:val="32"/>
        </w:rPr>
        <w:t>家取得绿色建材二星级以上认证的企业</w:t>
      </w:r>
      <w:proofErr w:type="gramStart"/>
      <w:r>
        <w:rPr>
          <w:rFonts w:ascii="Times New Roman" w:eastAsia="仿宋" w:hAnsi="Times New Roman" w:cs="Times New Roman"/>
          <w:color w:val="000000" w:themeColor="text1"/>
          <w:sz w:val="32"/>
          <w:szCs w:val="32"/>
        </w:rPr>
        <w:t>拨付奖补资金</w:t>
      </w:r>
      <w:proofErr w:type="gramEnd"/>
      <w:r>
        <w:rPr>
          <w:rFonts w:ascii="Times New Roman" w:eastAsia="仿宋" w:hAnsi="Times New Roman" w:cs="Times New Roman"/>
          <w:color w:val="000000" w:themeColor="text1"/>
          <w:sz w:val="32"/>
          <w:szCs w:val="32"/>
        </w:rPr>
        <w:t>80</w:t>
      </w:r>
      <w:r>
        <w:rPr>
          <w:rFonts w:ascii="Times New Roman" w:eastAsia="仿宋" w:hAnsi="Times New Roman" w:cs="Times New Roman"/>
          <w:color w:val="000000" w:themeColor="text1"/>
          <w:sz w:val="32"/>
          <w:szCs w:val="32"/>
        </w:rPr>
        <w:t>万元，对</w:t>
      </w:r>
      <w:r>
        <w:rPr>
          <w:rFonts w:ascii="Times New Roman" w:eastAsia="仿宋" w:hAnsi="Times New Roman" w:cs="Times New Roman"/>
          <w:color w:val="000000" w:themeColor="text1"/>
          <w:sz w:val="32"/>
          <w:szCs w:val="32"/>
        </w:rPr>
        <w:t>5</w:t>
      </w:r>
      <w:r>
        <w:rPr>
          <w:rFonts w:ascii="Times New Roman" w:eastAsia="仿宋" w:hAnsi="Times New Roman" w:cs="Times New Roman"/>
          <w:color w:val="000000" w:themeColor="text1"/>
          <w:sz w:val="32"/>
          <w:szCs w:val="32"/>
        </w:rPr>
        <w:t>个绿色建材应用比例超过</w:t>
      </w:r>
      <w:r>
        <w:rPr>
          <w:rFonts w:ascii="Times New Roman" w:eastAsia="仿宋" w:hAnsi="Times New Roman" w:cs="Times New Roman"/>
          <w:color w:val="000000" w:themeColor="text1"/>
          <w:sz w:val="32"/>
          <w:szCs w:val="32"/>
        </w:rPr>
        <w:t>50%</w:t>
      </w:r>
      <w:r>
        <w:rPr>
          <w:rFonts w:ascii="Times New Roman" w:eastAsia="仿宋" w:hAnsi="Times New Roman" w:cs="Times New Roman"/>
          <w:color w:val="000000" w:themeColor="text1"/>
          <w:sz w:val="32"/>
          <w:szCs w:val="32"/>
        </w:rPr>
        <w:t>的试点示范项目（不含政府投资项目）</w:t>
      </w:r>
      <w:proofErr w:type="gramStart"/>
      <w:r>
        <w:rPr>
          <w:rFonts w:ascii="Times New Roman" w:eastAsia="仿宋" w:hAnsi="Times New Roman" w:cs="Times New Roman"/>
          <w:color w:val="000000" w:themeColor="text1"/>
          <w:sz w:val="32"/>
          <w:szCs w:val="32"/>
        </w:rPr>
        <w:t>奖补资金</w:t>
      </w:r>
      <w:proofErr w:type="gramEnd"/>
      <w:r>
        <w:rPr>
          <w:rFonts w:ascii="Times New Roman" w:eastAsia="仿宋" w:hAnsi="Times New Roman" w:cs="Times New Roman"/>
          <w:color w:val="000000" w:themeColor="text1"/>
          <w:sz w:val="32"/>
          <w:szCs w:val="32"/>
        </w:rPr>
        <w:t>100</w:t>
      </w:r>
      <w:r>
        <w:rPr>
          <w:rFonts w:ascii="Times New Roman" w:eastAsia="仿宋" w:hAnsi="Times New Roman" w:cs="Times New Roman"/>
          <w:color w:val="000000" w:themeColor="text1"/>
          <w:sz w:val="32"/>
          <w:szCs w:val="32"/>
        </w:rPr>
        <w:t>万元。</w:t>
      </w:r>
    </w:p>
    <w:p w:rsidR="00897864" w:rsidRDefault="002F74FC">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楷体" w:hAnsi="Times New Roman" w:cs="Times New Roman"/>
          <w:color w:val="000000" w:themeColor="text1"/>
          <w:sz w:val="32"/>
          <w:szCs w:val="32"/>
        </w:rPr>
        <w:t>（四）深化课题标准研究。</w:t>
      </w:r>
      <w:r>
        <w:rPr>
          <w:rFonts w:ascii="Times New Roman" w:eastAsia="仿宋" w:hAnsi="Times New Roman" w:cs="Times New Roman"/>
          <w:color w:val="000000" w:themeColor="text1"/>
          <w:sz w:val="32"/>
          <w:szCs w:val="32"/>
        </w:rPr>
        <w:t>完成</w:t>
      </w:r>
      <w:r>
        <w:rPr>
          <w:rFonts w:ascii="Times New Roman" w:eastAsia="仿宋" w:hAnsi="Times New Roman" w:cs="Times New Roman"/>
          <w:color w:val="000000" w:themeColor="text1"/>
          <w:sz w:val="32"/>
          <w:szCs w:val="32"/>
        </w:rPr>
        <w:t>5</w:t>
      </w:r>
      <w:r>
        <w:rPr>
          <w:rFonts w:ascii="Times New Roman" w:eastAsia="仿宋" w:hAnsi="Times New Roman" w:cs="Times New Roman"/>
          <w:color w:val="000000" w:themeColor="text1"/>
          <w:sz w:val="32"/>
          <w:szCs w:val="32"/>
        </w:rPr>
        <w:t>个绿色建材相关研究课题验收，形成了《南京市政府采购支持绿色建材试点项目应用绿色建材抽样检验技术要求》等技术报告及指导性文件，在行业杂志发表了《绿色建材推广应用影响因素与对策分析》论文。加强部市合作，设立</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绿色建材采信应用系统研究与示范应用</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课题，形成《南京市绿色建材关键指标的测算方法及信息化建设研究报告》。联合夏热冬</w:t>
      </w:r>
      <w:proofErr w:type="gramStart"/>
      <w:r>
        <w:rPr>
          <w:rFonts w:ascii="Times New Roman" w:eastAsia="仿宋" w:hAnsi="Times New Roman" w:cs="Times New Roman"/>
          <w:color w:val="000000" w:themeColor="text1"/>
          <w:sz w:val="32"/>
          <w:szCs w:val="32"/>
        </w:rPr>
        <w:t>冷地区</w:t>
      </w:r>
      <w:proofErr w:type="gramEnd"/>
      <w:r>
        <w:rPr>
          <w:rFonts w:ascii="Times New Roman" w:eastAsia="仿宋" w:hAnsi="Times New Roman" w:cs="Times New Roman"/>
          <w:color w:val="000000" w:themeColor="text1"/>
          <w:sz w:val="32"/>
          <w:szCs w:val="32"/>
        </w:rPr>
        <w:t>绿色建材认证技术委员会召集相关企业申报七个绿色建材认证标准编制，其中《绿色建材评价标准</w:t>
      </w:r>
      <w:r>
        <w:rPr>
          <w:rFonts w:ascii="Times New Roman" w:eastAsia="仿宋" w:hAnsi="Times New Roman" w:cs="Times New Roman"/>
          <w:color w:val="000000" w:themeColor="text1"/>
          <w:sz w:val="32"/>
          <w:szCs w:val="32"/>
        </w:rPr>
        <w:t> </w:t>
      </w:r>
      <w:r>
        <w:rPr>
          <w:rFonts w:ascii="Times New Roman" w:eastAsia="仿宋" w:hAnsi="Times New Roman" w:cs="Times New Roman"/>
          <w:color w:val="000000" w:themeColor="text1"/>
          <w:sz w:val="32"/>
          <w:szCs w:val="32"/>
        </w:rPr>
        <w:t>隔墙板》及《绿色建材评价标准</w:t>
      </w:r>
      <w:r>
        <w:rPr>
          <w:rFonts w:ascii="Times New Roman" w:eastAsia="仿宋" w:hAnsi="Times New Roman" w:cs="Times New Roman"/>
          <w:color w:val="000000" w:themeColor="text1"/>
          <w:sz w:val="32"/>
          <w:szCs w:val="32"/>
        </w:rPr>
        <w:t> </w:t>
      </w:r>
      <w:r>
        <w:rPr>
          <w:rFonts w:ascii="Times New Roman" w:eastAsia="仿宋" w:hAnsi="Times New Roman" w:cs="Times New Roman"/>
          <w:color w:val="000000" w:themeColor="text1"/>
          <w:sz w:val="32"/>
          <w:szCs w:val="32"/>
        </w:rPr>
        <w:t>保温装饰一体板》已发布执行。</w:t>
      </w:r>
    </w:p>
    <w:p w:rsidR="00897864" w:rsidRDefault="002F74FC">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color w:val="000000" w:themeColor="text1"/>
          <w:sz w:val="32"/>
          <w:szCs w:val="32"/>
        </w:rPr>
        <w:t>（五）积极探索绿色建材碳排放研究。</w:t>
      </w:r>
      <w:r>
        <w:rPr>
          <w:rFonts w:ascii="Times New Roman" w:eastAsia="仿宋" w:hAnsi="Times New Roman" w:cs="Times New Roman"/>
          <w:sz w:val="32"/>
          <w:szCs w:val="32"/>
        </w:rPr>
        <w:t>依托院校与专业</w:t>
      </w:r>
      <w:r>
        <w:rPr>
          <w:rFonts w:ascii="Times New Roman" w:eastAsia="仿宋" w:hAnsi="Times New Roman" w:cs="Times New Roman"/>
          <w:sz w:val="32"/>
          <w:szCs w:val="32"/>
        </w:rPr>
        <w:lastRenderedPageBreak/>
        <w:t>机构开展技术理论探索，与东南大学和省厅科技发展中心联合开展《典型绿色建材生产与建造阶段碳排放因子测算》及《绿色建材多维度应用助力碳达峰规划研究报告》课题研究；依托</w:t>
      </w:r>
      <w:r>
        <w:rPr>
          <w:rFonts w:ascii="Times New Roman" w:eastAsia="仿宋" w:hAnsi="Times New Roman" w:cs="Times New Roman"/>
          <w:sz w:val="32"/>
          <w:szCs w:val="32"/>
        </w:rPr>
        <w:t>“</w:t>
      </w:r>
      <w:r>
        <w:rPr>
          <w:rFonts w:ascii="Times New Roman" w:eastAsia="仿宋" w:hAnsi="Times New Roman" w:cs="Times New Roman"/>
          <w:sz w:val="32"/>
          <w:szCs w:val="32"/>
        </w:rPr>
        <w:t>多算合一</w:t>
      </w:r>
      <w:r>
        <w:rPr>
          <w:rFonts w:ascii="Times New Roman" w:eastAsia="仿宋" w:hAnsi="Times New Roman" w:cs="Times New Roman"/>
          <w:sz w:val="32"/>
          <w:szCs w:val="32"/>
        </w:rPr>
        <w:t>”</w:t>
      </w:r>
      <w:r>
        <w:rPr>
          <w:rFonts w:ascii="Times New Roman" w:eastAsia="仿宋" w:hAnsi="Times New Roman" w:cs="Times New Roman"/>
          <w:sz w:val="32"/>
          <w:szCs w:val="32"/>
        </w:rPr>
        <w:t>软件平台的</w:t>
      </w:r>
      <w:r>
        <w:rPr>
          <w:rFonts w:ascii="Times New Roman" w:eastAsia="仿宋" w:hAnsi="Times New Roman" w:cs="Times New Roman"/>
          <w:sz w:val="32"/>
          <w:szCs w:val="32"/>
        </w:rPr>
        <w:t>“</w:t>
      </w:r>
      <w:r>
        <w:rPr>
          <w:rFonts w:ascii="Times New Roman" w:eastAsia="仿宋" w:hAnsi="Times New Roman" w:cs="Times New Roman"/>
          <w:sz w:val="32"/>
          <w:szCs w:val="32"/>
        </w:rPr>
        <w:t>绿色建材应用减碳量计算</w:t>
      </w:r>
      <w:r>
        <w:rPr>
          <w:rFonts w:ascii="Times New Roman" w:eastAsia="仿宋" w:hAnsi="Times New Roman" w:cs="Times New Roman"/>
          <w:sz w:val="32"/>
          <w:szCs w:val="32"/>
        </w:rPr>
        <w:t>”</w:t>
      </w:r>
      <w:r>
        <w:rPr>
          <w:rFonts w:ascii="Times New Roman" w:eastAsia="仿宋" w:hAnsi="Times New Roman" w:cs="Times New Roman"/>
          <w:sz w:val="32"/>
          <w:szCs w:val="32"/>
        </w:rPr>
        <w:t>功能，通过具体项目分析探索绿色建材对绿色建筑的促进作用。选取南京丁家庄妇幼保健院项目六类建材产品，对病房楼单体进行绿色建材</w:t>
      </w:r>
      <w:proofErr w:type="gramStart"/>
      <w:r>
        <w:rPr>
          <w:rFonts w:ascii="Times New Roman" w:eastAsia="仿宋" w:hAnsi="Times New Roman" w:cs="Times New Roman"/>
          <w:sz w:val="32"/>
          <w:szCs w:val="32"/>
        </w:rPr>
        <w:t>减碳潜力</w:t>
      </w:r>
      <w:proofErr w:type="gramEnd"/>
      <w:r>
        <w:rPr>
          <w:rFonts w:ascii="Times New Roman" w:eastAsia="仿宋" w:hAnsi="Times New Roman" w:cs="Times New Roman"/>
          <w:sz w:val="32"/>
          <w:szCs w:val="32"/>
        </w:rPr>
        <w:t>计算分析，验证了建筑全生命周期碳排放计算可操作性，明确了使用绿色建材对绿色</w:t>
      </w:r>
      <w:proofErr w:type="gramStart"/>
      <w:r>
        <w:rPr>
          <w:rFonts w:ascii="Times New Roman" w:eastAsia="仿宋" w:hAnsi="Times New Roman" w:cs="Times New Roman"/>
          <w:sz w:val="32"/>
          <w:szCs w:val="32"/>
        </w:rPr>
        <w:t>建筑减碳的</w:t>
      </w:r>
      <w:proofErr w:type="gramEnd"/>
      <w:r>
        <w:rPr>
          <w:rFonts w:ascii="Times New Roman" w:eastAsia="仿宋" w:hAnsi="Times New Roman" w:cs="Times New Roman"/>
          <w:sz w:val="32"/>
          <w:szCs w:val="32"/>
        </w:rPr>
        <w:t>重要贡献。</w:t>
      </w:r>
    </w:p>
    <w:p w:rsidR="00897864" w:rsidRDefault="002F74FC">
      <w:pPr>
        <w:spacing w:line="560" w:lineRule="exact"/>
        <w:ind w:firstLineChars="200" w:firstLine="640"/>
        <w:rPr>
          <w:rFonts w:ascii="Times New Roman" w:eastAsia="仿宋" w:hAnsi="Times New Roman" w:cs="Times New Roman"/>
          <w:sz w:val="32"/>
          <w:szCs w:val="32"/>
        </w:rPr>
      </w:pPr>
      <w:r>
        <w:rPr>
          <w:rFonts w:ascii="Times New Roman" w:eastAsia="楷体" w:hAnsi="Times New Roman" w:cs="Times New Roman"/>
          <w:sz w:val="32"/>
          <w:szCs w:val="32"/>
        </w:rPr>
        <w:t>（六）开展宣传培训，提高社会认知度。</w:t>
      </w:r>
      <w:r>
        <w:rPr>
          <w:rFonts w:ascii="Times New Roman" w:eastAsia="仿宋" w:hAnsi="Times New Roman" w:cs="Times New Roman"/>
          <w:sz w:val="32"/>
          <w:szCs w:val="32"/>
        </w:rPr>
        <w:t>召开</w:t>
      </w:r>
      <w:r>
        <w:rPr>
          <w:rFonts w:ascii="Times New Roman" w:eastAsia="仿宋" w:hAnsi="Times New Roman" w:cs="Times New Roman"/>
          <w:sz w:val="32"/>
          <w:szCs w:val="32"/>
        </w:rPr>
        <w:t>“</w:t>
      </w:r>
      <w:r>
        <w:rPr>
          <w:rFonts w:ascii="Times New Roman" w:eastAsia="仿宋" w:hAnsi="Times New Roman" w:cs="Times New Roman"/>
          <w:sz w:val="32"/>
          <w:szCs w:val="32"/>
        </w:rPr>
        <w:t>聚焦</w:t>
      </w:r>
      <w:r>
        <w:rPr>
          <w:rFonts w:ascii="Times New Roman" w:eastAsia="仿宋" w:hAnsi="Times New Roman" w:cs="Times New Roman"/>
          <w:sz w:val="32"/>
          <w:szCs w:val="32"/>
        </w:rPr>
        <w:t>‘</w:t>
      </w:r>
      <w:r>
        <w:rPr>
          <w:rFonts w:ascii="Times New Roman" w:eastAsia="仿宋" w:hAnsi="Times New Roman" w:cs="Times New Roman"/>
          <w:sz w:val="32"/>
          <w:szCs w:val="32"/>
        </w:rPr>
        <w:t>双碳</w:t>
      </w:r>
      <w:r>
        <w:rPr>
          <w:rFonts w:ascii="Times New Roman" w:eastAsia="仿宋" w:hAnsi="Times New Roman" w:cs="Times New Roman"/>
          <w:sz w:val="32"/>
          <w:szCs w:val="32"/>
        </w:rPr>
        <w:t>’</w:t>
      </w:r>
      <w:r>
        <w:rPr>
          <w:rFonts w:ascii="Times New Roman" w:eastAsia="仿宋" w:hAnsi="Times New Roman" w:cs="Times New Roman"/>
          <w:sz w:val="32"/>
          <w:szCs w:val="32"/>
        </w:rPr>
        <w:t>战略</w:t>
      </w:r>
      <w:r>
        <w:rPr>
          <w:rFonts w:ascii="Times New Roman" w:eastAsia="仿宋" w:hAnsi="Times New Roman" w:cs="Times New Roman"/>
          <w:sz w:val="32"/>
          <w:szCs w:val="32"/>
        </w:rPr>
        <w:t> </w:t>
      </w:r>
      <w:r>
        <w:rPr>
          <w:rFonts w:ascii="Times New Roman" w:eastAsia="仿宋" w:hAnsi="Times New Roman" w:cs="Times New Roman"/>
          <w:sz w:val="32"/>
          <w:szCs w:val="32"/>
        </w:rPr>
        <w:t>推动绿色建材与绿色建筑高质量发展论坛</w:t>
      </w:r>
      <w:r>
        <w:rPr>
          <w:rFonts w:ascii="Times New Roman" w:eastAsia="仿宋" w:hAnsi="Times New Roman" w:cs="Times New Roman"/>
          <w:sz w:val="32"/>
          <w:szCs w:val="32"/>
        </w:rPr>
        <w:t>”</w:t>
      </w:r>
      <w:r>
        <w:rPr>
          <w:rFonts w:ascii="Times New Roman" w:eastAsia="仿宋" w:hAnsi="Times New Roman" w:cs="Times New Roman"/>
          <w:sz w:val="32"/>
          <w:szCs w:val="32"/>
        </w:rPr>
        <w:t>，邀请行业管理、技术研发、大专院校及开发、设计、生产企业人员百余人，开展绿色建材政策、技术、绿色低碳发展等内容的交流；联合行业协会组织</w:t>
      </w:r>
      <w:r>
        <w:rPr>
          <w:rFonts w:ascii="Times New Roman" w:eastAsia="仿宋" w:hAnsi="Times New Roman" w:cs="Times New Roman"/>
          <w:sz w:val="32"/>
          <w:szCs w:val="32"/>
        </w:rPr>
        <w:t>30</w:t>
      </w:r>
      <w:r>
        <w:rPr>
          <w:rFonts w:ascii="Times New Roman" w:eastAsia="仿宋" w:hAnsi="Times New Roman" w:cs="Times New Roman"/>
          <w:sz w:val="32"/>
          <w:szCs w:val="32"/>
        </w:rPr>
        <w:t>家企业召开专场对接会，加强绿色低碳转型宣贯；组织认证机构针对企业绿色低碳转型问题召开协调会，建立第三方技术服务机制，对企业绿色低碳转型的认证流程咨询、认证标准制定及认证检测等开展全面服务；开展各类绿色建材进企业、进社区、进校园等科普宣传活动，营造倡导绿色低碳的社会氛围，提升全民</w:t>
      </w:r>
      <w:r>
        <w:rPr>
          <w:rFonts w:ascii="Times New Roman" w:eastAsia="仿宋" w:hAnsi="Times New Roman" w:cs="Times New Roman"/>
          <w:sz w:val="32"/>
          <w:szCs w:val="32"/>
        </w:rPr>
        <w:t>“</w:t>
      </w:r>
      <w:r>
        <w:rPr>
          <w:rFonts w:ascii="Times New Roman" w:eastAsia="仿宋" w:hAnsi="Times New Roman" w:cs="Times New Roman"/>
          <w:sz w:val="32"/>
          <w:szCs w:val="32"/>
        </w:rPr>
        <w:t>双碳</w:t>
      </w:r>
      <w:r>
        <w:rPr>
          <w:rFonts w:ascii="Times New Roman" w:eastAsia="仿宋" w:hAnsi="Times New Roman" w:cs="Times New Roman"/>
          <w:sz w:val="32"/>
          <w:szCs w:val="32"/>
        </w:rPr>
        <w:t>”</w:t>
      </w:r>
      <w:r>
        <w:rPr>
          <w:rFonts w:ascii="Times New Roman" w:eastAsia="仿宋" w:hAnsi="Times New Roman" w:cs="Times New Roman"/>
          <w:sz w:val="32"/>
          <w:szCs w:val="32"/>
        </w:rPr>
        <w:t>意识，提高社会认知度。</w:t>
      </w:r>
    </w:p>
    <w:p w:rsidR="00897864" w:rsidRDefault="002F74FC">
      <w:pPr>
        <w:pStyle w:val="ac"/>
        <w:spacing w:line="560" w:lineRule="exact"/>
        <w:ind w:firstLine="640"/>
        <w:rPr>
          <w:rFonts w:ascii="Times New Roman" w:eastAsia="黑体" w:hAnsi="Times New Roman" w:cs="Times New Roman"/>
          <w:color w:val="000000" w:themeColor="text1"/>
          <w:kern w:val="0"/>
          <w:sz w:val="32"/>
          <w:szCs w:val="32"/>
        </w:rPr>
      </w:pPr>
      <w:r>
        <w:rPr>
          <w:rFonts w:ascii="Times New Roman" w:eastAsia="黑体" w:hAnsi="Times New Roman" w:cs="Times New Roman"/>
          <w:color w:val="000000" w:themeColor="text1"/>
          <w:kern w:val="0"/>
          <w:sz w:val="32"/>
          <w:szCs w:val="32"/>
        </w:rPr>
        <w:t>四、存在问题及原因分析</w:t>
      </w:r>
    </w:p>
    <w:p w:rsidR="00897864" w:rsidRDefault="002F74FC">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楷体" w:hAnsi="Times New Roman" w:cs="Times New Roman"/>
          <w:color w:val="000000" w:themeColor="text1"/>
          <w:sz w:val="32"/>
          <w:szCs w:val="32"/>
        </w:rPr>
        <w:t>（一）预算执行率偏低。</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年计划绿色建材及</w:t>
      </w:r>
      <w:proofErr w:type="gramStart"/>
      <w:r>
        <w:rPr>
          <w:rFonts w:ascii="Times New Roman" w:eastAsia="仿宋" w:hAnsi="Times New Roman" w:cs="Times New Roman"/>
          <w:color w:val="000000" w:themeColor="text1"/>
          <w:sz w:val="32"/>
          <w:szCs w:val="32"/>
        </w:rPr>
        <w:t>项目奖补资金</w:t>
      </w:r>
      <w:proofErr w:type="gramEnd"/>
      <w:r>
        <w:rPr>
          <w:rFonts w:ascii="Times New Roman" w:eastAsia="仿宋" w:hAnsi="Times New Roman" w:cs="Times New Roman"/>
          <w:color w:val="000000" w:themeColor="text1"/>
          <w:sz w:val="32"/>
          <w:szCs w:val="32"/>
        </w:rPr>
        <w:t>为</w:t>
      </w:r>
      <w:r>
        <w:rPr>
          <w:rFonts w:ascii="Times New Roman" w:eastAsia="仿宋" w:hAnsi="Times New Roman" w:cs="Times New Roman"/>
          <w:color w:val="000000" w:themeColor="text1"/>
          <w:sz w:val="32"/>
          <w:szCs w:val="32"/>
        </w:rPr>
        <w:t>530</w:t>
      </w:r>
      <w:r>
        <w:rPr>
          <w:rFonts w:ascii="Times New Roman" w:eastAsia="仿宋" w:hAnsi="Times New Roman" w:cs="Times New Roman"/>
          <w:color w:val="000000" w:themeColor="text1"/>
          <w:sz w:val="32"/>
          <w:szCs w:val="32"/>
        </w:rPr>
        <w:t>万元，</w:t>
      </w:r>
      <w:proofErr w:type="gramStart"/>
      <w:r>
        <w:rPr>
          <w:rFonts w:ascii="Times New Roman" w:eastAsia="仿宋" w:hAnsi="Times New Roman" w:cs="Times New Roman"/>
          <w:color w:val="000000" w:themeColor="text1"/>
          <w:sz w:val="32"/>
          <w:szCs w:val="32"/>
        </w:rPr>
        <w:t>实际奖补资金</w:t>
      </w:r>
      <w:proofErr w:type="gramEnd"/>
      <w:r>
        <w:rPr>
          <w:rFonts w:ascii="Times New Roman" w:eastAsia="仿宋" w:hAnsi="Times New Roman" w:cs="Times New Roman"/>
          <w:color w:val="000000" w:themeColor="text1"/>
          <w:sz w:val="32"/>
          <w:szCs w:val="32"/>
        </w:rPr>
        <w:t>为</w:t>
      </w:r>
      <w:r>
        <w:rPr>
          <w:rFonts w:ascii="Times New Roman" w:eastAsia="仿宋" w:hAnsi="Times New Roman" w:cs="Times New Roman"/>
          <w:color w:val="000000" w:themeColor="text1"/>
          <w:sz w:val="32"/>
          <w:szCs w:val="32"/>
        </w:rPr>
        <w:t>180</w:t>
      </w:r>
      <w:r>
        <w:rPr>
          <w:rFonts w:ascii="Times New Roman" w:eastAsia="仿宋" w:hAnsi="Times New Roman" w:cs="Times New Roman"/>
          <w:color w:val="000000" w:themeColor="text1"/>
          <w:sz w:val="32"/>
          <w:szCs w:val="32"/>
        </w:rPr>
        <w:t>万元，主要原因在于政策制定和发布有一定程度滞后。财政部、住建部、工信</w:t>
      </w:r>
      <w:r>
        <w:rPr>
          <w:rFonts w:ascii="Times New Roman" w:eastAsia="仿宋" w:hAnsi="Times New Roman" w:cs="Times New Roman"/>
          <w:color w:val="000000" w:themeColor="text1"/>
          <w:sz w:val="32"/>
          <w:szCs w:val="32"/>
        </w:rPr>
        <w:lastRenderedPageBreak/>
        <w:t>部在</w:t>
      </w:r>
      <w:r>
        <w:rPr>
          <w:rFonts w:ascii="Times New Roman" w:eastAsia="仿宋" w:hAnsi="Times New Roman" w:cs="Times New Roman"/>
          <w:color w:val="000000" w:themeColor="text1"/>
          <w:sz w:val="32"/>
          <w:szCs w:val="32"/>
        </w:rPr>
        <w:t>2022</w:t>
      </w:r>
      <w:r>
        <w:rPr>
          <w:rFonts w:ascii="Times New Roman" w:eastAsia="仿宋" w:hAnsi="Times New Roman" w:cs="Times New Roman"/>
          <w:color w:val="000000" w:themeColor="text1"/>
          <w:sz w:val="32"/>
          <w:szCs w:val="32"/>
        </w:rPr>
        <w:t>年</w:t>
      </w:r>
      <w:r>
        <w:rPr>
          <w:rFonts w:ascii="Times New Roman" w:eastAsia="仿宋" w:hAnsi="Times New Roman" w:cs="Times New Roman"/>
          <w:color w:val="000000" w:themeColor="text1"/>
          <w:sz w:val="32"/>
          <w:szCs w:val="32"/>
        </w:rPr>
        <w:t>10</w:t>
      </w:r>
      <w:r>
        <w:rPr>
          <w:rFonts w:ascii="Times New Roman" w:eastAsia="仿宋" w:hAnsi="Times New Roman" w:cs="Times New Roman"/>
          <w:color w:val="000000" w:themeColor="text1"/>
          <w:sz w:val="32"/>
          <w:szCs w:val="32"/>
        </w:rPr>
        <w:t>月发布财库</w:t>
      </w:r>
      <w:r>
        <w:rPr>
          <w:rFonts w:ascii="Times New Roman" w:eastAsia="仿宋" w:hAnsi="Times New Roman" w:cs="Times New Roman"/>
          <w:color w:val="000000" w:themeColor="text1"/>
          <w:sz w:val="32"/>
          <w:szCs w:val="32"/>
        </w:rPr>
        <w:t>[2022]35</w:t>
      </w:r>
      <w:r>
        <w:rPr>
          <w:rFonts w:ascii="Times New Roman" w:eastAsia="仿宋" w:hAnsi="Times New Roman" w:cs="Times New Roman"/>
          <w:color w:val="000000" w:themeColor="text1"/>
          <w:sz w:val="32"/>
          <w:szCs w:val="32"/>
        </w:rPr>
        <w:t>号文件，要求将政府采购支持绿色建材促进建筑品质提升政策实施范围由</w:t>
      </w:r>
      <w:r>
        <w:rPr>
          <w:rFonts w:ascii="Times New Roman" w:eastAsia="仿宋" w:hAnsi="Times New Roman" w:cs="Times New Roman"/>
          <w:color w:val="000000" w:themeColor="text1"/>
          <w:sz w:val="32"/>
          <w:szCs w:val="32"/>
        </w:rPr>
        <w:t>6</w:t>
      </w:r>
      <w:r>
        <w:rPr>
          <w:rFonts w:ascii="Times New Roman" w:eastAsia="仿宋" w:hAnsi="Times New Roman" w:cs="Times New Roman"/>
          <w:color w:val="000000" w:themeColor="text1"/>
          <w:sz w:val="32"/>
          <w:szCs w:val="32"/>
        </w:rPr>
        <w:t>个城市扩大到</w:t>
      </w:r>
      <w:r>
        <w:rPr>
          <w:rFonts w:ascii="Times New Roman" w:eastAsia="仿宋" w:hAnsi="Times New Roman" w:cs="Times New Roman"/>
          <w:color w:val="000000" w:themeColor="text1"/>
          <w:sz w:val="32"/>
          <w:szCs w:val="32"/>
        </w:rPr>
        <w:t>48</w:t>
      </w:r>
      <w:r>
        <w:rPr>
          <w:rFonts w:ascii="Times New Roman" w:eastAsia="仿宋" w:hAnsi="Times New Roman" w:cs="Times New Roman"/>
          <w:color w:val="000000" w:themeColor="text1"/>
          <w:sz w:val="32"/>
          <w:szCs w:val="32"/>
        </w:rPr>
        <w:t>个，同时绿色建材采购需求标准也发生了变化。我市一方面要推进</w:t>
      </w:r>
      <w:r>
        <w:rPr>
          <w:rFonts w:ascii="Times New Roman" w:eastAsia="仿宋" w:hAnsi="Times New Roman" w:cs="Times New Roman"/>
          <w:color w:val="000000" w:themeColor="text1"/>
          <w:sz w:val="32"/>
          <w:szCs w:val="32"/>
        </w:rPr>
        <w:t>2021-2022</w:t>
      </w:r>
      <w:r>
        <w:rPr>
          <w:rFonts w:ascii="Times New Roman" w:eastAsia="仿宋" w:hAnsi="Times New Roman" w:cs="Times New Roman"/>
          <w:color w:val="000000" w:themeColor="text1"/>
          <w:sz w:val="32"/>
          <w:szCs w:val="32"/>
        </w:rPr>
        <w:t>年工作收尾，一方面要联合各部门按照新的要求制定工作实施方案。部门间协调沟通多次后《</w:t>
      </w:r>
      <w:r>
        <w:rPr>
          <w:rFonts w:ascii="Times New Roman" w:eastAsia="仿宋" w:hAnsi="Times New Roman" w:cs="Times New Roman"/>
          <w:sz w:val="32"/>
          <w:szCs w:val="32"/>
        </w:rPr>
        <w:t>南京市政府采购支持绿色建材促进建筑品质提升工作实施方案</w:t>
      </w:r>
      <w:r>
        <w:rPr>
          <w:rFonts w:ascii="Times New Roman" w:eastAsia="仿宋" w:hAnsi="Times New Roman" w:cs="Times New Roman"/>
          <w:color w:val="000000" w:themeColor="text1"/>
          <w:sz w:val="32"/>
          <w:szCs w:val="32"/>
        </w:rPr>
        <w:t>》于</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年底发布，对应的绿色建材采购需求标准、激励措施等配套政策尚未明确，对应的项目及产品</w:t>
      </w:r>
      <w:proofErr w:type="gramStart"/>
      <w:r>
        <w:rPr>
          <w:rFonts w:ascii="Times New Roman" w:eastAsia="仿宋" w:hAnsi="Times New Roman" w:cs="Times New Roman"/>
          <w:color w:val="000000" w:themeColor="text1"/>
          <w:sz w:val="32"/>
          <w:szCs w:val="32"/>
        </w:rPr>
        <w:t>资金奖补</w:t>
      </w:r>
      <w:proofErr w:type="gramEnd"/>
      <w:r>
        <w:rPr>
          <w:rFonts w:ascii="Times New Roman" w:eastAsia="仿宋" w:hAnsi="Times New Roman" w:cs="Times New Roman"/>
          <w:color w:val="000000" w:themeColor="text1"/>
          <w:sz w:val="32"/>
          <w:szCs w:val="32"/>
        </w:rPr>
        <w:t>工作有所滞后</w:t>
      </w:r>
      <w:r>
        <w:rPr>
          <w:rFonts w:ascii="Times New Roman" w:eastAsia="仿宋" w:hAnsi="Times New Roman" w:cs="Times New Roman"/>
          <w:color w:val="606266"/>
          <w:szCs w:val="21"/>
          <w:shd w:val="clear" w:color="auto" w:fill="FFFFFF"/>
        </w:rPr>
        <w:t>。</w:t>
      </w:r>
    </w:p>
    <w:p w:rsidR="00897864" w:rsidRDefault="002F74FC">
      <w:pPr>
        <w:pStyle w:val="ac"/>
        <w:spacing w:line="560" w:lineRule="exact"/>
        <w:ind w:firstLine="640"/>
        <w:rPr>
          <w:rFonts w:ascii="Times New Roman" w:eastAsia="仿宋" w:hAnsi="Times New Roman" w:cs="Times New Roman"/>
          <w:sz w:val="32"/>
          <w:szCs w:val="32"/>
        </w:rPr>
      </w:pPr>
      <w:r>
        <w:rPr>
          <w:rFonts w:ascii="Times New Roman" w:eastAsia="楷体" w:hAnsi="Times New Roman" w:cs="Times New Roman"/>
          <w:color w:val="000000" w:themeColor="text1"/>
          <w:sz w:val="32"/>
          <w:szCs w:val="32"/>
        </w:rPr>
        <w:t>（二）绿色金融推动不力。</w:t>
      </w:r>
      <w:r>
        <w:rPr>
          <w:rFonts w:ascii="Times New Roman" w:eastAsia="仿宋" w:hAnsi="Times New Roman" w:cs="Times New Roman"/>
          <w:color w:val="000000" w:themeColor="text1"/>
          <w:sz w:val="32"/>
          <w:szCs w:val="32"/>
        </w:rPr>
        <w:t>与绿色低碳建材相关的金融</w:t>
      </w:r>
      <w:r>
        <w:rPr>
          <w:rFonts w:ascii="Times New Roman" w:eastAsia="仿宋" w:hAnsi="Times New Roman" w:cs="Times New Roman"/>
          <w:bCs/>
          <w:sz w:val="32"/>
          <w:szCs w:val="32"/>
        </w:rPr>
        <w:t>产品运作机制不够完善，绿色金融支持工作推进困难。</w:t>
      </w:r>
      <w:r>
        <w:rPr>
          <w:rFonts w:ascii="Times New Roman" w:eastAsia="仿宋" w:hAnsi="Times New Roman" w:cs="Times New Roman"/>
          <w:sz w:val="32"/>
          <w:szCs w:val="32"/>
        </w:rPr>
        <w:t>由于碳排放评价体系不健全，绿色低碳项目信息披露不完整，绿色低碳建材认定和绿色信贷存在采信错配，造成绿色金融对绿色低碳项目的支持积极性不高，绿色金融产品运作与绿色低碳项目建设存在流程堵点和技术障碍。</w:t>
      </w:r>
    </w:p>
    <w:p w:rsidR="00897864" w:rsidRDefault="002F74FC">
      <w:pPr>
        <w:pStyle w:val="ac"/>
        <w:spacing w:line="560" w:lineRule="exact"/>
        <w:ind w:firstLineChars="221" w:firstLine="707"/>
        <w:rPr>
          <w:rFonts w:ascii="Times New Roman" w:eastAsia="仿宋" w:hAnsi="Times New Roman" w:cs="Times New Roman"/>
          <w:color w:val="000000" w:themeColor="text1"/>
          <w:sz w:val="32"/>
          <w:szCs w:val="32"/>
        </w:rPr>
      </w:pPr>
      <w:r>
        <w:rPr>
          <w:rFonts w:ascii="Times New Roman" w:eastAsia="楷体" w:hAnsi="Times New Roman" w:cs="Times New Roman"/>
          <w:color w:val="000000" w:themeColor="text1"/>
          <w:sz w:val="32"/>
          <w:szCs w:val="32"/>
        </w:rPr>
        <w:t>（三）降低碳排放的效果不明显。</w:t>
      </w:r>
      <w:r>
        <w:rPr>
          <w:rFonts w:ascii="Times New Roman" w:eastAsia="仿宋" w:hAnsi="Times New Roman" w:cs="Times New Roman"/>
          <w:color w:val="000000" w:themeColor="text1"/>
          <w:sz w:val="32"/>
          <w:szCs w:val="32"/>
        </w:rPr>
        <w:t>虽然在碳排放测算方面做了许多尝试，并且在个别示范项目上开展了碳排放试算，但是我市尚未建立建筑碳排放评价方法和体系，工程项目缺乏建立全过程碳排放管理意识，没有形成整体推动力，对于降低我市建筑领域碳排放的效果不够明显。</w:t>
      </w:r>
    </w:p>
    <w:p w:rsidR="00897864" w:rsidRDefault="002F74FC">
      <w:pPr>
        <w:pStyle w:val="ac"/>
        <w:spacing w:line="560" w:lineRule="exact"/>
        <w:ind w:firstLineChars="221" w:firstLine="707"/>
        <w:rPr>
          <w:rFonts w:ascii="Times New Roman" w:eastAsia="仿宋" w:hAnsi="Times New Roman" w:cs="Times New Roman"/>
          <w:sz w:val="32"/>
          <w:szCs w:val="32"/>
        </w:rPr>
      </w:pPr>
      <w:r>
        <w:rPr>
          <w:rFonts w:ascii="Times New Roman" w:eastAsia="楷体" w:hAnsi="Times New Roman" w:cs="Times New Roman"/>
          <w:color w:val="000000" w:themeColor="text1"/>
          <w:sz w:val="32"/>
          <w:szCs w:val="32"/>
        </w:rPr>
        <w:t>（四）促进绿色建材发展，助</w:t>
      </w:r>
      <w:proofErr w:type="gramStart"/>
      <w:r>
        <w:rPr>
          <w:rFonts w:ascii="Times New Roman" w:eastAsia="楷体" w:hAnsi="Times New Roman" w:cs="Times New Roman"/>
          <w:color w:val="000000" w:themeColor="text1"/>
          <w:sz w:val="32"/>
          <w:szCs w:val="32"/>
        </w:rPr>
        <w:t>推建筑</w:t>
      </w:r>
      <w:proofErr w:type="gramEnd"/>
      <w:r>
        <w:rPr>
          <w:rFonts w:ascii="Times New Roman" w:eastAsia="楷体" w:hAnsi="Times New Roman" w:cs="Times New Roman"/>
          <w:color w:val="000000" w:themeColor="text1"/>
          <w:sz w:val="32"/>
          <w:szCs w:val="32"/>
        </w:rPr>
        <w:t>品质提升力度不够。</w:t>
      </w:r>
      <w:r>
        <w:rPr>
          <w:rFonts w:ascii="Times New Roman" w:eastAsia="仿宋" w:hAnsi="Times New Roman" w:cs="Times New Roman"/>
          <w:color w:val="000000" w:themeColor="text1"/>
          <w:sz w:val="32"/>
          <w:szCs w:val="32"/>
        </w:rPr>
        <w:t>开展了绿色建材发展及对绿色建筑促进作用的长效机制相关研究，但是绿色建材推广应用机制建立不充分，项目对于采购和使用绿色建材的要求还不够明确，对于绿色建材对建</w:t>
      </w:r>
      <w:r>
        <w:rPr>
          <w:rFonts w:ascii="Times New Roman" w:eastAsia="仿宋" w:hAnsi="Times New Roman" w:cs="Times New Roman"/>
          <w:color w:val="000000" w:themeColor="text1"/>
          <w:sz w:val="32"/>
          <w:szCs w:val="32"/>
        </w:rPr>
        <w:lastRenderedPageBreak/>
        <w:t>筑品质提升的意义不够了解，并未实现项目在绿色建材方面的应用尽用。</w:t>
      </w:r>
    </w:p>
    <w:p w:rsidR="00897864" w:rsidRDefault="002F74FC">
      <w:pPr>
        <w:spacing w:line="560" w:lineRule="exact"/>
        <w:ind w:firstLineChars="200" w:firstLine="640"/>
        <w:rPr>
          <w:rFonts w:ascii="Times New Roman" w:eastAsia="黑体" w:hAnsi="Times New Roman" w:cs="Times New Roman"/>
          <w:color w:val="000000" w:themeColor="text1"/>
          <w:kern w:val="0"/>
          <w:sz w:val="32"/>
          <w:szCs w:val="32"/>
        </w:rPr>
      </w:pPr>
      <w:r>
        <w:rPr>
          <w:rFonts w:ascii="Times New Roman" w:eastAsia="黑体" w:hAnsi="Times New Roman" w:cs="Times New Roman"/>
          <w:color w:val="000000" w:themeColor="text1"/>
          <w:kern w:val="0"/>
          <w:sz w:val="32"/>
          <w:szCs w:val="32"/>
        </w:rPr>
        <w:t>五、改进建议</w:t>
      </w:r>
    </w:p>
    <w:p w:rsidR="00897864" w:rsidRDefault="002F74FC">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楷体" w:hAnsi="Times New Roman" w:cs="Times New Roman"/>
          <w:color w:val="000000" w:themeColor="text1"/>
          <w:sz w:val="32"/>
          <w:szCs w:val="32"/>
        </w:rPr>
        <w:t>（一）加强预算申报准确度。</w:t>
      </w:r>
      <w:r>
        <w:rPr>
          <w:rFonts w:ascii="Times New Roman" w:eastAsia="仿宋" w:hAnsi="Times New Roman" w:cs="Times New Roman"/>
          <w:color w:val="000000" w:themeColor="text1"/>
          <w:sz w:val="32"/>
          <w:szCs w:val="32"/>
        </w:rPr>
        <w:t>积极加强各部门沟通协调，促进激励措施等配套政策出台，加强资金拨付与预算匹配性。一是要加强摸底调研，对实际情况加强掌握，确保资金预算更加精准；二是强化过程控制，在实施过程中加强进度管理，督促加强落实；三是充分评估实际情况，对于工期较长及较为复杂的项目，结合实际情况制定申报前置条件，压实预算申报内容。</w:t>
      </w:r>
    </w:p>
    <w:p w:rsidR="00897864" w:rsidRDefault="002F74FC">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楷体" w:hAnsi="Times New Roman" w:cs="Times New Roman"/>
          <w:color w:val="000000" w:themeColor="text1"/>
          <w:sz w:val="32"/>
          <w:szCs w:val="32"/>
        </w:rPr>
        <w:t>（二）促进建材领域绿色金融政策落地。</w:t>
      </w:r>
      <w:r>
        <w:rPr>
          <w:rFonts w:ascii="Times New Roman" w:eastAsia="仿宋" w:hAnsi="Times New Roman" w:cs="Times New Roman"/>
          <w:color w:val="000000" w:themeColor="text1"/>
          <w:sz w:val="32"/>
          <w:szCs w:val="32"/>
        </w:rPr>
        <w:t>推动隐含碳排放计算方法研究和评价体系建立，完善并统一建材碳排放因子数据来源，明确隐含碳排放的计算范围和计算方法，建立碳排放核算标准和评价体系，加强绿色低碳建材金融撬动相关课题成果转化，为</w:t>
      </w:r>
      <w:proofErr w:type="gramStart"/>
      <w:r>
        <w:rPr>
          <w:rFonts w:ascii="Times New Roman" w:eastAsia="仿宋" w:hAnsi="Times New Roman" w:cs="Times New Roman"/>
          <w:color w:val="000000" w:themeColor="text1"/>
          <w:sz w:val="32"/>
          <w:szCs w:val="32"/>
        </w:rPr>
        <w:t>推广固碳建材和减碳建材</w:t>
      </w:r>
      <w:proofErr w:type="gramEnd"/>
      <w:r>
        <w:rPr>
          <w:rFonts w:ascii="Times New Roman" w:eastAsia="仿宋" w:hAnsi="Times New Roman" w:cs="Times New Roman"/>
          <w:color w:val="000000" w:themeColor="text1"/>
          <w:sz w:val="32"/>
          <w:szCs w:val="32"/>
        </w:rPr>
        <w:t>提供支撑。</w:t>
      </w:r>
    </w:p>
    <w:p w:rsidR="00897864" w:rsidRDefault="002F74FC">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楷体" w:hAnsi="Times New Roman" w:cs="Times New Roman"/>
          <w:color w:val="000000" w:themeColor="text1"/>
          <w:sz w:val="32"/>
          <w:szCs w:val="32"/>
        </w:rPr>
        <w:t>（三）深化建立建筑领域碳足迹管理体系。</w:t>
      </w:r>
      <w:r>
        <w:rPr>
          <w:rFonts w:ascii="Times New Roman" w:eastAsia="仿宋" w:hAnsi="Times New Roman" w:cs="Times New Roman"/>
          <w:bCs/>
          <w:color w:val="000000"/>
          <w:sz w:val="32"/>
          <w:szCs w:val="32"/>
        </w:rPr>
        <w:t>完善建筑领域碳足迹管理机制，提出我市建筑领域碳足迹管理体系的设计方案，拓宽绿色建材应用场景，对住宅、医院等多类型建筑开展碳足迹测算，促进建立我市建筑碳足迹数据库。</w:t>
      </w:r>
    </w:p>
    <w:p w:rsidR="00897864" w:rsidRDefault="002F74FC">
      <w:pPr>
        <w:spacing w:line="560" w:lineRule="exact"/>
        <w:ind w:firstLineChars="200" w:firstLine="640"/>
        <w:rPr>
          <w:rFonts w:ascii="Times New Roman" w:eastAsia="楷体" w:hAnsi="Times New Roman" w:cs="Times New Roman"/>
          <w:color w:val="000000" w:themeColor="text1"/>
          <w:sz w:val="32"/>
          <w:szCs w:val="32"/>
        </w:rPr>
      </w:pPr>
      <w:r>
        <w:rPr>
          <w:rFonts w:ascii="Times New Roman" w:eastAsia="楷体" w:hAnsi="Times New Roman" w:cs="Times New Roman"/>
          <w:color w:val="000000" w:themeColor="text1"/>
          <w:sz w:val="32"/>
          <w:szCs w:val="32"/>
        </w:rPr>
        <w:t>（四）搭建绿色建材推广应用平台。</w:t>
      </w:r>
      <w:r>
        <w:rPr>
          <w:rFonts w:ascii="Times New Roman" w:eastAsia="仿宋" w:hAnsi="Times New Roman" w:cs="Times New Roman"/>
          <w:color w:val="000000" w:themeColor="text1"/>
          <w:sz w:val="32"/>
          <w:szCs w:val="32"/>
        </w:rPr>
        <w:t>加强对各级政府部门、项目单位的政策宣贯，落实建筑领域</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双碳</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目标要求，提升使用绿色低碳建材，促进建筑品质提升的主体意识。通过与各协会、平台合作、协作等方式，共同搭建绿色建材多渠道推广应用平台，促进绿色建材发展。</w:t>
      </w:r>
    </w:p>
    <w:p w:rsidR="00897864" w:rsidRDefault="002F74FC">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color w:val="000000"/>
          <w:kern w:val="0"/>
          <w:sz w:val="32"/>
          <w:szCs w:val="32"/>
        </w:rPr>
        <w:lastRenderedPageBreak/>
        <w:t>六、评价工作开展情况及其他需要说明的情况</w:t>
      </w:r>
    </w:p>
    <w:p w:rsidR="00897864" w:rsidRDefault="002F74FC">
      <w:pPr>
        <w:widowControl/>
        <w:spacing w:line="560" w:lineRule="exact"/>
        <w:ind w:firstLineChars="200" w:firstLine="640"/>
        <w:rPr>
          <w:rFonts w:ascii="Times New Roman" w:eastAsia="楷体" w:hAnsi="Times New Roman" w:cs="Times New Roman"/>
          <w:color w:val="000000" w:themeColor="text1"/>
          <w:sz w:val="32"/>
          <w:szCs w:val="32"/>
        </w:rPr>
      </w:pPr>
      <w:r>
        <w:rPr>
          <w:rFonts w:ascii="Times New Roman" w:eastAsia="楷体" w:hAnsi="Times New Roman" w:cs="Times New Roman"/>
          <w:color w:val="000000" w:themeColor="text1"/>
          <w:sz w:val="32"/>
          <w:szCs w:val="32"/>
        </w:rPr>
        <w:t>（一）评价思路</w:t>
      </w:r>
    </w:p>
    <w:p w:rsidR="00897864" w:rsidRDefault="002F74FC">
      <w:pPr>
        <w:spacing w:line="560" w:lineRule="exact"/>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本次评价通过指标设计、数据采集、数据汇总分析、报告撰写等步骤完成。为推进绿色建材试点工作，确保专项资金落到实处，绩效指标选取侧重于从项目经济效益、社会效益符合推广绿色建材应用、提升绿色建筑品质的总体要求出发，采集具有代表性与广泛性的数据，支撑指标体系的评分，实现客观科学的评价。</w:t>
      </w:r>
    </w:p>
    <w:p w:rsidR="00897864" w:rsidRDefault="002F74FC">
      <w:pPr>
        <w:widowControl/>
        <w:spacing w:line="560" w:lineRule="exact"/>
        <w:ind w:firstLineChars="200" w:firstLine="640"/>
        <w:rPr>
          <w:rFonts w:ascii="Times New Roman" w:eastAsia="楷体" w:hAnsi="Times New Roman" w:cs="Times New Roman"/>
          <w:color w:val="000000" w:themeColor="text1"/>
          <w:sz w:val="32"/>
          <w:szCs w:val="32"/>
        </w:rPr>
      </w:pPr>
      <w:r>
        <w:rPr>
          <w:rFonts w:ascii="Times New Roman" w:eastAsia="楷体" w:hAnsi="Times New Roman" w:cs="Times New Roman"/>
          <w:color w:val="000000" w:themeColor="text1"/>
          <w:sz w:val="32"/>
          <w:szCs w:val="32"/>
        </w:rPr>
        <w:t>（二）指标设定</w:t>
      </w:r>
    </w:p>
    <w:p w:rsidR="00897864" w:rsidRDefault="002F74FC">
      <w:pPr>
        <w:spacing w:line="56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根据《中共中央国务院关于全面实施预算绩效管理的意见》</w:t>
      </w:r>
      <w:r w:rsidR="0036736A">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《中共江苏省委</w:t>
      </w:r>
      <w:r>
        <w:rPr>
          <w:rFonts w:ascii="Times New Roman" w:eastAsia="仿宋" w:hAnsi="Times New Roman" w:cs="Times New Roman"/>
          <w:color w:val="000000" w:themeColor="text1"/>
          <w:sz w:val="32"/>
          <w:szCs w:val="32"/>
        </w:rPr>
        <w:t> </w:t>
      </w:r>
      <w:r>
        <w:rPr>
          <w:rFonts w:ascii="Times New Roman" w:eastAsia="仿宋" w:hAnsi="Times New Roman" w:cs="Times New Roman"/>
          <w:color w:val="000000" w:themeColor="text1"/>
          <w:sz w:val="32"/>
          <w:szCs w:val="32"/>
        </w:rPr>
        <w:t>江苏省人民政府关于全面实施预算绩效管理的实施意见》、</w:t>
      </w:r>
      <w:bookmarkStart w:id="0" w:name="_GoBack"/>
      <w:r>
        <w:rPr>
          <w:rFonts w:ascii="Times New Roman" w:eastAsia="仿宋" w:hAnsi="Times New Roman" w:cs="Times New Roman"/>
          <w:color w:val="000000" w:themeColor="text1"/>
          <w:sz w:val="32"/>
          <w:szCs w:val="32"/>
        </w:rPr>
        <w:t>《</w:t>
      </w:r>
      <w:bookmarkEnd w:id="0"/>
      <w:r>
        <w:rPr>
          <w:rFonts w:ascii="Times New Roman" w:eastAsia="仿宋" w:hAnsi="Times New Roman" w:cs="Times New Roman"/>
          <w:color w:val="000000" w:themeColor="text1"/>
          <w:sz w:val="32"/>
          <w:szCs w:val="32"/>
        </w:rPr>
        <w:t>关于开展</w:t>
      </w:r>
      <w:r>
        <w:rPr>
          <w:rFonts w:ascii="Times New Roman" w:eastAsia="仿宋" w:hAnsi="Times New Roman" w:cs="Times New Roman"/>
          <w:color w:val="000000" w:themeColor="text1"/>
          <w:sz w:val="32"/>
          <w:szCs w:val="32"/>
        </w:rPr>
        <w:t>2024</w:t>
      </w:r>
      <w:r>
        <w:rPr>
          <w:rFonts w:ascii="Times New Roman" w:eastAsia="仿宋" w:hAnsi="Times New Roman" w:cs="Times New Roman"/>
          <w:color w:val="000000" w:themeColor="text1"/>
          <w:sz w:val="32"/>
          <w:szCs w:val="32"/>
        </w:rPr>
        <w:t>年度预算绩效信息公开工作的通知》、《关于印发</w:t>
      </w:r>
      <w:r>
        <w:rPr>
          <w:rFonts w:ascii="Times New Roman" w:eastAsia="仿宋" w:hAnsi="Times New Roman" w:cs="Times New Roman"/>
          <w:color w:val="000000" w:themeColor="text1"/>
          <w:sz w:val="32"/>
          <w:szCs w:val="32"/>
        </w:rPr>
        <w:t>2024</w:t>
      </w:r>
      <w:r>
        <w:rPr>
          <w:rFonts w:ascii="Times New Roman" w:eastAsia="仿宋" w:hAnsi="Times New Roman" w:cs="Times New Roman"/>
          <w:color w:val="000000" w:themeColor="text1"/>
          <w:sz w:val="32"/>
          <w:szCs w:val="32"/>
        </w:rPr>
        <w:t>年南京市市级预算部门（单位）绩效管理工作要求的通知》及相关规定，结合本项目特点，设置</w:t>
      </w:r>
      <w:r>
        <w:rPr>
          <w:rFonts w:ascii="Times New Roman" w:eastAsia="仿宋" w:hAnsi="Times New Roman" w:cs="Times New Roman"/>
          <w:color w:val="000000" w:themeColor="text1"/>
          <w:sz w:val="32"/>
          <w:szCs w:val="32"/>
        </w:rPr>
        <w:t>6</w:t>
      </w:r>
      <w:r>
        <w:rPr>
          <w:rFonts w:ascii="Times New Roman" w:eastAsia="仿宋" w:hAnsi="Times New Roman" w:cs="Times New Roman"/>
          <w:color w:val="000000" w:themeColor="text1"/>
          <w:sz w:val="32"/>
          <w:szCs w:val="32"/>
        </w:rPr>
        <w:t>个一级指标、</w:t>
      </w:r>
      <w:r>
        <w:rPr>
          <w:rFonts w:ascii="Times New Roman" w:eastAsia="仿宋" w:hAnsi="Times New Roman" w:cs="Times New Roman"/>
          <w:color w:val="000000" w:themeColor="text1"/>
          <w:sz w:val="32"/>
          <w:szCs w:val="32"/>
        </w:rPr>
        <w:t>15</w:t>
      </w:r>
      <w:r>
        <w:rPr>
          <w:rFonts w:ascii="Times New Roman" w:eastAsia="仿宋" w:hAnsi="Times New Roman" w:cs="Times New Roman"/>
          <w:color w:val="000000" w:themeColor="text1"/>
          <w:sz w:val="32"/>
          <w:szCs w:val="32"/>
        </w:rPr>
        <w:t>个二级指标，</w:t>
      </w:r>
      <w:r>
        <w:rPr>
          <w:rFonts w:ascii="Times New Roman" w:eastAsia="仿宋" w:hAnsi="Times New Roman" w:cs="Times New Roman"/>
          <w:color w:val="000000" w:themeColor="text1"/>
          <w:sz w:val="32"/>
          <w:szCs w:val="32"/>
        </w:rPr>
        <w:t>28</w:t>
      </w:r>
      <w:r>
        <w:rPr>
          <w:rFonts w:ascii="Times New Roman" w:eastAsia="仿宋" w:hAnsi="Times New Roman" w:cs="Times New Roman"/>
          <w:color w:val="000000" w:themeColor="text1"/>
          <w:sz w:val="32"/>
          <w:szCs w:val="32"/>
        </w:rPr>
        <w:t>个三级指标。</w:t>
      </w:r>
    </w:p>
    <w:p w:rsidR="00897864" w:rsidRDefault="002F74FC">
      <w:pPr>
        <w:widowControl/>
        <w:spacing w:line="560" w:lineRule="exact"/>
        <w:ind w:firstLineChars="200" w:firstLine="640"/>
        <w:rPr>
          <w:rFonts w:ascii="Times New Roman" w:eastAsia="楷体" w:hAnsi="Times New Roman" w:cs="Times New Roman"/>
          <w:color w:val="000000" w:themeColor="text1"/>
          <w:sz w:val="32"/>
          <w:szCs w:val="32"/>
        </w:rPr>
      </w:pPr>
      <w:r>
        <w:rPr>
          <w:rFonts w:ascii="Times New Roman" w:eastAsia="楷体" w:hAnsi="Times New Roman" w:cs="Times New Roman"/>
          <w:color w:val="000000" w:themeColor="text1"/>
          <w:sz w:val="32"/>
          <w:szCs w:val="32"/>
        </w:rPr>
        <w:t>（三）组织实施</w:t>
      </w:r>
    </w:p>
    <w:p w:rsidR="00897864" w:rsidRDefault="002F74FC">
      <w:pPr>
        <w:spacing w:line="56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此次绩效评价工作的组织实施分为三个阶段，分别为：前期准备阶段、组织实施阶段和报告撰写阶段。</w:t>
      </w:r>
    </w:p>
    <w:p w:rsidR="00897864" w:rsidRDefault="002F74FC">
      <w:pPr>
        <w:spacing w:line="56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前期准备阶段</w:t>
      </w:r>
    </w:p>
    <w:p w:rsidR="00897864" w:rsidRDefault="002F74FC">
      <w:pPr>
        <w:spacing w:line="56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2024</w:t>
      </w:r>
      <w:r>
        <w:rPr>
          <w:rFonts w:ascii="Times New Roman" w:eastAsia="仿宋" w:hAnsi="Times New Roman" w:cs="Times New Roman"/>
          <w:color w:val="000000" w:themeColor="text1"/>
          <w:sz w:val="32"/>
          <w:szCs w:val="32"/>
        </w:rPr>
        <w:t>年</w:t>
      </w:r>
      <w:r>
        <w:rPr>
          <w:rFonts w:ascii="Times New Roman" w:eastAsia="仿宋" w:hAnsi="Times New Roman" w:cs="Times New Roman"/>
          <w:color w:val="000000" w:themeColor="text1"/>
          <w:sz w:val="32"/>
          <w:szCs w:val="32"/>
        </w:rPr>
        <w:t>5</w:t>
      </w:r>
      <w:r>
        <w:rPr>
          <w:rFonts w:ascii="Times New Roman" w:eastAsia="仿宋" w:hAnsi="Times New Roman" w:cs="Times New Roman"/>
          <w:color w:val="000000" w:themeColor="text1"/>
          <w:sz w:val="32"/>
          <w:szCs w:val="32"/>
        </w:rPr>
        <w:t>月中旬。组建绩效评价工作小组，小组成员由具体经办的建筑材料（墙材）管理科、法规基金科、分管副主任及主任组成。根据项目文件资料、申报资料等，结合项目特点，确定评价的目的、范围、原则，确定绩效评价工作</w:t>
      </w:r>
      <w:r>
        <w:rPr>
          <w:rFonts w:ascii="Times New Roman" w:eastAsia="仿宋" w:hAnsi="Times New Roman" w:cs="Times New Roman"/>
          <w:color w:val="000000" w:themeColor="text1"/>
          <w:sz w:val="32"/>
          <w:szCs w:val="32"/>
        </w:rPr>
        <w:lastRenderedPageBreak/>
        <w:t>方案，制定绩效评价体系。</w:t>
      </w:r>
    </w:p>
    <w:p w:rsidR="00897864" w:rsidRDefault="002F74FC">
      <w:pPr>
        <w:spacing w:line="56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2.</w:t>
      </w:r>
      <w:r>
        <w:rPr>
          <w:rFonts w:ascii="Times New Roman" w:eastAsia="仿宋" w:hAnsi="Times New Roman" w:cs="Times New Roman"/>
          <w:color w:val="000000" w:themeColor="text1"/>
          <w:sz w:val="32"/>
          <w:szCs w:val="32"/>
        </w:rPr>
        <w:t>组织实施阶段</w:t>
      </w:r>
    </w:p>
    <w:p w:rsidR="00897864" w:rsidRDefault="002F74FC">
      <w:pPr>
        <w:spacing w:line="56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2024</w:t>
      </w:r>
      <w:r>
        <w:rPr>
          <w:rFonts w:ascii="Times New Roman" w:eastAsia="仿宋" w:hAnsi="Times New Roman" w:cs="Times New Roman"/>
          <w:color w:val="000000" w:themeColor="text1"/>
          <w:sz w:val="32"/>
          <w:szCs w:val="32"/>
        </w:rPr>
        <w:t>年</w:t>
      </w:r>
      <w:r>
        <w:rPr>
          <w:rFonts w:ascii="Times New Roman" w:eastAsia="仿宋" w:hAnsi="Times New Roman" w:cs="Times New Roman"/>
          <w:color w:val="000000" w:themeColor="text1"/>
          <w:sz w:val="32"/>
          <w:szCs w:val="32"/>
        </w:rPr>
        <w:t>5</w:t>
      </w:r>
      <w:r>
        <w:rPr>
          <w:rFonts w:ascii="Times New Roman" w:eastAsia="仿宋" w:hAnsi="Times New Roman" w:cs="Times New Roman"/>
          <w:color w:val="000000" w:themeColor="text1"/>
          <w:sz w:val="32"/>
          <w:szCs w:val="32"/>
        </w:rPr>
        <w:t>月下旬至</w:t>
      </w:r>
      <w:r>
        <w:rPr>
          <w:rFonts w:ascii="Times New Roman" w:eastAsia="仿宋" w:hAnsi="Times New Roman" w:cs="Times New Roman"/>
          <w:color w:val="000000" w:themeColor="text1"/>
          <w:sz w:val="32"/>
          <w:szCs w:val="32"/>
        </w:rPr>
        <w:t>6</w:t>
      </w:r>
      <w:r>
        <w:rPr>
          <w:rFonts w:ascii="Times New Roman" w:eastAsia="仿宋" w:hAnsi="Times New Roman" w:cs="Times New Roman"/>
          <w:color w:val="000000" w:themeColor="text1"/>
          <w:sz w:val="32"/>
          <w:szCs w:val="32"/>
        </w:rPr>
        <w:t>月中旬。对项目申报及验收资料进行核查，核查内容包括绩效评价基础表数据的收集核对、项目资金使用情况、绩效目标完成情况、项目投入产出社会效益等方面的内容，核查内容结合专家评审意见。</w:t>
      </w:r>
    </w:p>
    <w:p w:rsidR="00897864" w:rsidRDefault="002F74FC">
      <w:pPr>
        <w:spacing w:line="56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3.</w:t>
      </w:r>
      <w:r>
        <w:rPr>
          <w:rFonts w:ascii="Times New Roman" w:eastAsia="仿宋" w:hAnsi="Times New Roman" w:cs="Times New Roman"/>
          <w:color w:val="000000" w:themeColor="text1"/>
          <w:sz w:val="32"/>
          <w:szCs w:val="32"/>
        </w:rPr>
        <w:t>报告撰写阶段</w:t>
      </w:r>
    </w:p>
    <w:p w:rsidR="00897864" w:rsidRDefault="002F74FC">
      <w:pPr>
        <w:spacing w:line="560" w:lineRule="exact"/>
        <w:ind w:firstLine="640"/>
        <w:rPr>
          <w:rFonts w:ascii="Times New Roman" w:eastAsia="仿宋" w:hAnsi="Times New Roman" w:cs="Times New Roman"/>
          <w:color w:val="000000" w:themeColor="text1"/>
          <w:sz w:val="32"/>
          <w:szCs w:val="32"/>
        </w:rPr>
      </w:pPr>
      <w:r>
        <w:rPr>
          <w:rFonts w:ascii="Times New Roman" w:eastAsia="仿宋" w:hAnsi="Times New Roman" w:cs="Times New Roman"/>
          <w:color w:val="000000" w:themeColor="text1"/>
          <w:sz w:val="32"/>
          <w:szCs w:val="32"/>
        </w:rPr>
        <w:t>2024</w:t>
      </w:r>
      <w:r>
        <w:rPr>
          <w:rFonts w:ascii="Times New Roman" w:eastAsia="仿宋" w:hAnsi="Times New Roman" w:cs="Times New Roman"/>
          <w:color w:val="000000" w:themeColor="text1"/>
          <w:sz w:val="32"/>
          <w:szCs w:val="32"/>
        </w:rPr>
        <w:t>年</w:t>
      </w:r>
      <w:r>
        <w:rPr>
          <w:rFonts w:ascii="Times New Roman" w:eastAsia="仿宋" w:hAnsi="Times New Roman" w:cs="Times New Roman"/>
          <w:color w:val="000000" w:themeColor="text1"/>
          <w:sz w:val="32"/>
          <w:szCs w:val="32"/>
        </w:rPr>
        <w:t>6</w:t>
      </w:r>
      <w:r>
        <w:rPr>
          <w:rFonts w:ascii="Times New Roman" w:eastAsia="仿宋" w:hAnsi="Times New Roman" w:cs="Times New Roman"/>
          <w:color w:val="000000" w:themeColor="text1"/>
          <w:sz w:val="32"/>
          <w:szCs w:val="32"/>
        </w:rPr>
        <w:t>月下旬。根据资料结合检查情况，对数据进行汇总、对比、分析，科室内部讨论完成基础表格数据的填写及绩效自评价报告的草拟。经领导审阅及修改，完成评价报告的撰写。</w:t>
      </w:r>
    </w:p>
    <w:p w:rsidR="00897864" w:rsidRDefault="00897864">
      <w:pPr>
        <w:spacing w:line="560" w:lineRule="exact"/>
        <w:ind w:firstLine="640"/>
        <w:rPr>
          <w:rFonts w:ascii="Times New Roman" w:eastAsia="仿宋_GB2312" w:hAnsi="Times New Roman" w:cs="Times New Roman"/>
          <w:color w:val="000000" w:themeColor="text1"/>
          <w:sz w:val="32"/>
          <w:szCs w:val="32"/>
        </w:rPr>
      </w:pPr>
    </w:p>
    <w:p w:rsidR="00897864" w:rsidRDefault="002F74FC">
      <w:pPr>
        <w:spacing w:line="560" w:lineRule="exact"/>
        <w:ind w:leftChars="304" w:left="1688" w:hangingChars="300" w:hanging="1050"/>
        <w:rPr>
          <w:rFonts w:ascii="Times New Roman" w:eastAsia="仿宋_GB2312" w:hAnsi="Times New Roman" w:cs="Times New Roman"/>
          <w:color w:val="000000" w:themeColor="text1"/>
          <w:kern w:val="0"/>
          <w:sz w:val="32"/>
          <w:szCs w:val="32"/>
        </w:rPr>
      </w:pPr>
      <w:r>
        <w:rPr>
          <w:rFonts w:ascii="Times New Roman" w:eastAsia="仿宋" w:hAnsi="Times New Roman" w:cs="Times New Roman"/>
          <w:color w:val="000000" w:themeColor="text1"/>
          <w:spacing w:val="15"/>
          <w:kern w:val="0"/>
          <w:sz w:val="32"/>
          <w:szCs w:val="32"/>
          <w:shd w:val="clear" w:color="auto" w:fill="FFFFFF"/>
        </w:rPr>
        <w:t>附件：</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年度南京市政府采购支持绿色建材促进建筑品质提升全国试点城市专项资金绩效综合评分表</w:t>
      </w:r>
    </w:p>
    <w:p w:rsidR="00897864" w:rsidRDefault="00897864">
      <w:pPr>
        <w:widowControl/>
        <w:spacing w:line="560" w:lineRule="exact"/>
        <w:jc w:val="left"/>
        <w:rPr>
          <w:rFonts w:ascii="Times New Roman" w:eastAsia="仿宋_GB2312" w:hAnsi="Times New Roman" w:cs="Times New Roman"/>
          <w:color w:val="000000" w:themeColor="text1"/>
          <w:kern w:val="0"/>
          <w:sz w:val="32"/>
          <w:szCs w:val="32"/>
        </w:rPr>
      </w:pPr>
    </w:p>
    <w:p w:rsidR="00897864" w:rsidRDefault="00897864">
      <w:pPr>
        <w:widowControl/>
        <w:spacing w:line="560" w:lineRule="exact"/>
        <w:jc w:val="left"/>
        <w:rPr>
          <w:rFonts w:ascii="Times New Roman" w:eastAsia="仿宋_GB2312" w:hAnsi="Times New Roman" w:cs="Times New Roman"/>
          <w:color w:val="000000" w:themeColor="text1"/>
          <w:kern w:val="0"/>
          <w:sz w:val="32"/>
          <w:szCs w:val="32"/>
        </w:rPr>
      </w:pPr>
    </w:p>
    <w:p w:rsidR="00897864" w:rsidRDefault="002F74FC">
      <w:pPr>
        <w:widowControl/>
        <w:spacing w:line="560" w:lineRule="exact"/>
        <w:ind w:firstLineChars="900" w:firstLine="2880"/>
        <w:jc w:val="left"/>
        <w:rPr>
          <w:rFonts w:ascii="Times New Roman" w:eastAsia="仿宋" w:hAnsi="Times New Roman" w:cs="Times New Roman"/>
          <w:color w:val="000000" w:themeColor="text1"/>
          <w:kern w:val="0"/>
          <w:sz w:val="32"/>
          <w:szCs w:val="32"/>
        </w:rPr>
      </w:pPr>
      <w:r>
        <w:rPr>
          <w:rFonts w:ascii="Times New Roman" w:eastAsia="仿宋" w:hAnsi="Times New Roman" w:cs="Times New Roman"/>
          <w:color w:val="000000" w:themeColor="text1"/>
          <w:kern w:val="0"/>
          <w:sz w:val="32"/>
          <w:szCs w:val="32"/>
        </w:rPr>
        <w:t>南京市绿色建筑与绿色建材发展中心</w:t>
      </w:r>
    </w:p>
    <w:p w:rsidR="00897864" w:rsidRDefault="002F74FC">
      <w:pPr>
        <w:widowControl/>
        <w:spacing w:line="560" w:lineRule="exact"/>
        <w:ind w:firstLineChars="1300" w:firstLine="4160"/>
        <w:jc w:val="left"/>
        <w:rPr>
          <w:rFonts w:ascii="Times New Roman" w:eastAsia="仿宋" w:hAnsi="Times New Roman" w:cs="Times New Roman"/>
          <w:color w:val="000000" w:themeColor="text1"/>
          <w:kern w:val="0"/>
          <w:sz w:val="32"/>
          <w:szCs w:val="32"/>
        </w:rPr>
      </w:pPr>
      <w:r>
        <w:rPr>
          <w:rFonts w:ascii="Times New Roman" w:eastAsia="仿宋" w:hAnsi="Times New Roman" w:cs="Times New Roman"/>
          <w:color w:val="000000" w:themeColor="text1"/>
          <w:kern w:val="0"/>
          <w:sz w:val="32"/>
          <w:szCs w:val="32"/>
        </w:rPr>
        <w:t>2024</w:t>
      </w:r>
      <w:r>
        <w:rPr>
          <w:rFonts w:ascii="Times New Roman" w:eastAsia="仿宋" w:hAnsi="Times New Roman" w:cs="Times New Roman"/>
          <w:color w:val="000000" w:themeColor="text1"/>
          <w:kern w:val="0"/>
          <w:sz w:val="32"/>
          <w:szCs w:val="32"/>
        </w:rPr>
        <w:t>年</w:t>
      </w:r>
      <w:r>
        <w:rPr>
          <w:rFonts w:ascii="Times New Roman" w:eastAsia="仿宋" w:hAnsi="Times New Roman" w:cs="Times New Roman"/>
          <w:color w:val="000000" w:themeColor="text1"/>
          <w:kern w:val="0"/>
          <w:sz w:val="32"/>
          <w:szCs w:val="32"/>
        </w:rPr>
        <w:t>6</w:t>
      </w:r>
      <w:r>
        <w:rPr>
          <w:rFonts w:ascii="Times New Roman" w:eastAsia="仿宋" w:hAnsi="Times New Roman" w:cs="Times New Roman"/>
          <w:color w:val="000000" w:themeColor="text1"/>
          <w:kern w:val="0"/>
          <w:sz w:val="32"/>
          <w:szCs w:val="32"/>
        </w:rPr>
        <w:t>月</w:t>
      </w:r>
      <w:r>
        <w:rPr>
          <w:rFonts w:ascii="Times New Roman" w:eastAsia="仿宋" w:hAnsi="Times New Roman" w:cs="Times New Roman"/>
          <w:color w:val="000000" w:themeColor="text1"/>
          <w:kern w:val="0"/>
          <w:sz w:val="32"/>
          <w:szCs w:val="32"/>
        </w:rPr>
        <w:t>14</w:t>
      </w:r>
      <w:r>
        <w:rPr>
          <w:rFonts w:ascii="Times New Roman" w:eastAsia="仿宋" w:hAnsi="Times New Roman" w:cs="Times New Roman"/>
          <w:color w:val="000000" w:themeColor="text1"/>
          <w:kern w:val="0"/>
          <w:sz w:val="32"/>
          <w:szCs w:val="32"/>
        </w:rPr>
        <w:t>日</w:t>
      </w:r>
    </w:p>
    <w:p w:rsidR="00897864" w:rsidRDefault="00897864">
      <w:pPr>
        <w:widowControl/>
        <w:jc w:val="left"/>
        <w:rPr>
          <w:rFonts w:ascii="Times New Roman" w:eastAsia="仿宋" w:hAnsi="Times New Roman" w:cs="Times New Roman"/>
          <w:color w:val="000000"/>
          <w:kern w:val="0"/>
          <w:sz w:val="31"/>
          <w:szCs w:val="31"/>
        </w:rPr>
      </w:pPr>
    </w:p>
    <w:p w:rsidR="00897864" w:rsidRDefault="00897864">
      <w:pPr>
        <w:widowControl/>
        <w:jc w:val="left"/>
        <w:rPr>
          <w:rFonts w:ascii="Times New Roman" w:eastAsia="仿宋" w:hAnsi="Times New Roman" w:cs="Times New Roman"/>
          <w:color w:val="000000"/>
          <w:kern w:val="0"/>
          <w:sz w:val="31"/>
          <w:szCs w:val="31"/>
        </w:rPr>
      </w:pPr>
    </w:p>
    <w:p w:rsidR="00897864" w:rsidRDefault="00897864">
      <w:pPr>
        <w:widowControl/>
        <w:jc w:val="left"/>
        <w:rPr>
          <w:rFonts w:ascii="Times New Roman" w:eastAsia="仿宋" w:hAnsi="Times New Roman" w:cs="Times New Roman"/>
          <w:color w:val="000000"/>
          <w:kern w:val="0"/>
          <w:sz w:val="31"/>
          <w:szCs w:val="31"/>
        </w:rPr>
      </w:pPr>
    </w:p>
    <w:p w:rsidR="00897864" w:rsidRDefault="00897864">
      <w:pPr>
        <w:widowControl/>
        <w:jc w:val="left"/>
        <w:rPr>
          <w:rFonts w:ascii="Times New Roman" w:eastAsia="仿宋" w:hAnsi="Times New Roman" w:cs="Times New Roman"/>
          <w:color w:val="000000"/>
          <w:kern w:val="0"/>
          <w:sz w:val="31"/>
          <w:szCs w:val="31"/>
        </w:rPr>
      </w:pPr>
    </w:p>
    <w:p w:rsidR="00897864" w:rsidRDefault="00897864">
      <w:pPr>
        <w:widowControl/>
        <w:jc w:val="left"/>
        <w:rPr>
          <w:rFonts w:ascii="Times New Roman" w:eastAsia="仿宋" w:hAnsi="Times New Roman" w:cs="Times New Roman"/>
          <w:color w:val="000000"/>
          <w:kern w:val="0"/>
          <w:sz w:val="31"/>
          <w:szCs w:val="31"/>
        </w:rPr>
      </w:pPr>
    </w:p>
    <w:p w:rsidR="00897864" w:rsidRDefault="002F74FC">
      <w:pPr>
        <w:widowControl/>
        <w:jc w:val="left"/>
        <w:rPr>
          <w:rFonts w:ascii="Times New Roman" w:eastAsia="仿宋" w:hAnsi="Times New Roman" w:cs="Times New Roman"/>
          <w:color w:val="000000"/>
          <w:kern w:val="0"/>
          <w:sz w:val="31"/>
          <w:szCs w:val="31"/>
        </w:rPr>
      </w:pPr>
      <w:r>
        <w:rPr>
          <w:rFonts w:ascii="Times New Roman" w:eastAsia="仿宋" w:hAnsi="Times New Roman" w:cs="Times New Roman"/>
          <w:color w:val="000000"/>
          <w:kern w:val="0"/>
          <w:sz w:val="31"/>
          <w:szCs w:val="31"/>
        </w:rPr>
        <w:lastRenderedPageBreak/>
        <w:t>附件</w:t>
      </w:r>
    </w:p>
    <w:p w:rsidR="00897864" w:rsidRDefault="002F74FC">
      <w:pPr>
        <w:spacing w:line="560" w:lineRule="exact"/>
        <w:jc w:val="center"/>
        <w:rPr>
          <w:rFonts w:ascii="Times New Roman" w:eastAsiaTheme="majorEastAsia" w:hAnsi="Times New Roman" w:cs="Times New Roman"/>
          <w:sz w:val="36"/>
          <w:szCs w:val="36"/>
        </w:rPr>
      </w:pPr>
      <w:r>
        <w:rPr>
          <w:rFonts w:ascii="Times New Roman" w:eastAsiaTheme="majorEastAsia" w:hAnsi="Times New Roman" w:cs="Times New Roman"/>
          <w:sz w:val="36"/>
          <w:szCs w:val="36"/>
        </w:rPr>
        <w:t>2023</w:t>
      </w:r>
      <w:r>
        <w:rPr>
          <w:rFonts w:ascii="Times New Roman" w:eastAsiaTheme="majorEastAsia" w:hAnsi="Times New Roman" w:cs="Times New Roman"/>
          <w:sz w:val="36"/>
          <w:szCs w:val="36"/>
        </w:rPr>
        <w:t>年度南京市政府采购支持绿色建材促进建筑品质提升全国试点城市专项资金绩效综合评分表</w:t>
      </w:r>
    </w:p>
    <w:tbl>
      <w:tblPr>
        <w:tblStyle w:val="aa"/>
        <w:tblpPr w:leftFromText="180" w:rightFromText="180" w:vertAnchor="text" w:horzAnchor="page" w:tblpXSpec="center" w:tblpY="549"/>
        <w:tblOverlap w:val="never"/>
        <w:tblW w:w="11408" w:type="dxa"/>
        <w:jc w:val="center"/>
        <w:tblLayout w:type="fixed"/>
        <w:tblLook w:val="04A0" w:firstRow="1" w:lastRow="0" w:firstColumn="1" w:lastColumn="0" w:noHBand="0" w:noVBand="1"/>
      </w:tblPr>
      <w:tblGrid>
        <w:gridCol w:w="792"/>
        <w:gridCol w:w="750"/>
        <w:gridCol w:w="1185"/>
        <w:gridCol w:w="780"/>
        <w:gridCol w:w="3773"/>
        <w:gridCol w:w="610"/>
        <w:gridCol w:w="2870"/>
        <w:gridCol w:w="648"/>
      </w:tblGrid>
      <w:tr w:rsidR="00897864">
        <w:trPr>
          <w:jc w:val="center"/>
        </w:trPr>
        <w:tc>
          <w:tcPr>
            <w:tcW w:w="792" w:type="dxa"/>
            <w:vAlign w:val="center"/>
          </w:tcPr>
          <w:p w:rsidR="00897864" w:rsidRDefault="002F74FC">
            <w:pPr>
              <w:jc w:val="center"/>
              <w:rPr>
                <w:rFonts w:ascii="Times New Roman" w:eastAsia="黑体" w:hAnsi="Times New Roman" w:cs="Times New Roman"/>
                <w:sz w:val="24"/>
              </w:rPr>
            </w:pPr>
            <w:r>
              <w:rPr>
                <w:rFonts w:ascii="Times New Roman" w:eastAsia="黑体" w:hAnsi="Times New Roman" w:cs="Times New Roman"/>
                <w:sz w:val="24"/>
              </w:rPr>
              <w:t>一级指标</w:t>
            </w:r>
          </w:p>
        </w:tc>
        <w:tc>
          <w:tcPr>
            <w:tcW w:w="750" w:type="dxa"/>
            <w:vAlign w:val="center"/>
          </w:tcPr>
          <w:p w:rsidR="00897864" w:rsidRDefault="002F74FC">
            <w:pPr>
              <w:jc w:val="center"/>
              <w:rPr>
                <w:rFonts w:ascii="Times New Roman" w:eastAsia="黑体" w:hAnsi="Times New Roman" w:cs="Times New Roman"/>
                <w:sz w:val="24"/>
              </w:rPr>
            </w:pPr>
            <w:r>
              <w:rPr>
                <w:rFonts w:ascii="Times New Roman" w:eastAsia="黑体" w:hAnsi="Times New Roman" w:cs="Times New Roman"/>
                <w:sz w:val="24"/>
              </w:rPr>
              <w:t>二级指标</w:t>
            </w:r>
          </w:p>
        </w:tc>
        <w:tc>
          <w:tcPr>
            <w:tcW w:w="1185" w:type="dxa"/>
            <w:vAlign w:val="center"/>
          </w:tcPr>
          <w:p w:rsidR="00897864" w:rsidRDefault="002F74FC">
            <w:pPr>
              <w:jc w:val="center"/>
              <w:rPr>
                <w:rFonts w:ascii="Times New Roman" w:eastAsia="黑体" w:hAnsi="Times New Roman" w:cs="Times New Roman"/>
                <w:sz w:val="24"/>
              </w:rPr>
            </w:pPr>
            <w:r>
              <w:rPr>
                <w:rFonts w:ascii="Times New Roman" w:eastAsia="黑体" w:hAnsi="Times New Roman" w:cs="Times New Roman"/>
                <w:sz w:val="24"/>
              </w:rPr>
              <w:t>三级指标</w:t>
            </w:r>
          </w:p>
        </w:tc>
        <w:tc>
          <w:tcPr>
            <w:tcW w:w="780" w:type="dxa"/>
            <w:vAlign w:val="center"/>
          </w:tcPr>
          <w:p w:rsidR="00897864" w:rsidRDefault="002F74FC">
            <w:pPr>
              <w:jc w:val="center"/>
              <w:rPr>
                <w:rFonts w:ascii="Times New Roman" w:eastAsia="黑体" w:hAnsi="Times New Roman" w:cs="Times New Roman"/>
                <w:sz w:val="24"/>
              </w:rPr>
            </w:pPr>
            <w:r>
              <w:rPr>
                <w:rFonts w:ascii="Times New Roman" w:eastAsia="黑体" w:hAnsi="Times New Roman" w:cs="Times New Roman"/>
                <w:color w:val="000000" w:themeColor="text1"/>
                <w:sz w:val="24"/>
              </w:rPr>
              <w:t>指标值</w:t>
            </w:r>
          </w:p>
        </w:tc>
        <w:tc>
          <w:tcPr>
            <w:tcW w:w="3773" w:type="dxa"/>
            <w:vAlign w:val="center"/>
          </w:tcPr>
          <w:p w:rsidR="00897864" w:rsidRDefault="002F74FC">
            <w:pPr>
              <w:jc w:val="center"/>
              <w:rPr>
                <w:rFonts w:ascii="Times New Roman" w:eastAsia="黑体" w:hAnsi="Times New Roman" w:cs="Times New Roman"/>
                <w:sz w:val="24"/>
              </w:rPr>
            </w:pPr>
            <w:r>
              <w:rPr>
                <w:rFonts w:ascii="Times New Roman" w:eastAsia="黑体" w:hAnsi="Times New Roman" w:cs="Times New Roman"/>
                <w:sz w:val="24"/>
              </w:rPr>
              <w:t>指标解释</w:t>
            </w:r>
          </w:p>
        </w:tc>
        <w:tc>
          <w:tcPr>
            <w:tcW w:w="610" w:type="dxa"/>
            <w:vAlign w:val="center"/>
          </w:tcPr>
          <w:p w:rsidR="00897864" w:rsidRDefault="002F74FC">
            <w:pPr>
              <w:jc w:val="center"/>
              <w:rPr>
                <w:rFonts w:ascii="Times New Roman" w:eastAsia="黑体" w:hAnsi="Times New Roman" w:cs="Times New Roman"/>
                <w:sz w:val="24"/>
              </w:rPr>
            </w:pPr>
            <w:r>
              <w:rPr>
                <w:rFonts w:ascii="Times New Roman" w:eastAsia="黑体" w:hAnsi="Times New Roman" w:cs="Times New Roman"/>
                <w:sz w:val="24"/>
              </w:rPr>
              <w:t>权重</w:t>
            </w:r>
          </w:p>
        </w:tc>
        <w:tc>
          <w:tcPr>
            <w:tcW w:w="2870" w:type="dxa"/>
            <w:vAlign w:val="center"/>
          </w:tcPr>
          <w:p w:rsidR="00897864" w:rsidRDefault="002F74FC">
            <w:pPr>
              <w:jc w:val="center"/>
              <w:rPr>
                <w:rFonts w:ascii="Times New Roman" w:eastAsia="黑体" w:hAnsi="Times New Roman" w:cs="Times New Roman"/>
                <w:color w:val="000000" w:themeColor="text1"/>
                <w:sz w:val="24"/>
              </w:rPr>
            </w:pPr>
            <w:r>
              <w:rPr>
                <w:rFonts w:ascii="Times New Roman" w:eastAsia="黑体" w:hAnsi="Times New Roman" w:cs="Times New Roman"/>
                <w:sz w:val="24"/>
              </w:rPr>
              <w:t>评分标准</w:t>
            </w:r>
          </w:p>
        </w:tc>
        <w:tc>
          <w:tcPr>
            <w:tcW w:w="648" w:type="dxa"/>
            <w:vAlign w:val="center"/>
          </w:tcPr>
          <w:p w:rsidR="00897864" w:rsidRDefault="002F74FC">
            <w:pPr>
              <w:jc w:val="center"/>
              <w:rPr>
                <w:rFonts w:ascii="Times New Roman" w:eastAsia="黑体" w:hAnsi="Times New Roman" w:cs="Times New Roman"/>
                <w:sz w:val="24"/>
              </w:rPr>
            </w:pPr>
            <w:r>
              <w:rPr>
                <w:rFonts w:ascii="Times New Roman" w:eastAsia="黑体" w:hAnsi="Times New Roman" w:cs="Times New Roman"/>
                <w:sz w:val="24"/>
              </w:rPr>
              <w:t>评分</w:t>
            </w:r>
          </w:p>
        </w:tc>
      </w:tr>
      <w:tr w:rsidR="00897864">
        <w:trPr>
          <w:trHeight w:val="1232"/>
          <w:jc w:val="center"/>
        </w:trPr>
        <w:tc>
          <w:tcPr>
            <w:tcW w:w="792"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决策指标</w:t>
            </w:r>
          </w:p>
          <w:p w:rsidR="00897864" w:rsidRDefault="002F74FC">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color w:val="000000" w:themeColor="text1"/>
                <w:szCs w:val="21"/>
              </w:rPr>
              <w:t>12</w:t>
            </w:r>
            <w:r>
              <w:rPr>
                <w:rFonts w:ascii="Times New Roman" w:hAnsi="Times New Roman" w:cs="Times New Roman"/>
                <w:szCs w:val="21"/>
              </w:rPr>
              <w:t>分）</w:t>
            </w:r>
          </w:p>
        </w:tc>
        <w:tc>
          <w:tcPr>
            <w:tcW w:w="750"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项目立项</w:t>
            </w: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立项依据充分性</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kern w:val="0"/>
                <w:szCs w:val="21"/>
              </w:rPr>
              <w:t>充分</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项目立项是否符合国家法律法规、国民经济发展规划和相关政策；</w:t>
            </w:r>
            <w:r>
              <w:rPr>
                <w:rFonts w:ascii="Times New Roman" w:hAnsi="Times New Roman" w:cs="Times New Roman"/>
                <w:szCs w:val="21"/>
              </w:rPr>
              <w:t xml:space="preserve"> ②</w:t>
            </w:r>
            <w:r>
              <w:rPr>
                <w:rFonts w:ascii="Times New Roman" w:hAnsi="Times New Roman" w:cs="Times New Roman"/>
                <w:szCs w:val="21"/>
              </w:rPr>
              <w:t>项目立项是否符合行业发展规划和政策要求；</w:t>
            </w:r>
          </w:p>
          <w:p w:rsidR="00897864" w:rsidRDefault="002F74FC">
            <w:pPr>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项目立项是否与部门职责范围相符，属于部门履职所需；</w:t>
            </w:r>
          </w:p>
          <w:p w:rsidR="00897864" w:rsidRDefault="002F74FC">
            <w:pPr>
              <w:rPr>
                <w:rFonts w:ascii="Times New Roman" w:hAnsi="Times New Roman" w:cs="Times New Roman"/>
                <w:szCs w:val="21"/>
              </w:rPr>
            </w:pPr>
            <w:r>
              <w:rPr>
                <w:rFonts w:ascii="Times New Roman" w:hAnsi="Times New Roman" w:cs="Times New Roman"/>
                <w:szCs w:val="21"/>
              </w:rPr>
              <w:t>④</w:t>
            </w:r>
            <w:r>
              <w:rPr>
                <w:rFonts w:ascii="Times New Roman" w:hAnsi="Times New Roman" w:cs="Times New Roman"/>
                <w:szCs w:val="21"/>
              </w:rPr>
              <w:t>项目是否属于公共财政支持范围，是否符合中央、地方事权支出责任划分原则；</w:t>
            </w:r>
          </w:p>
          <w:p w:rsidR="00897864" w:rsidRDefault="002F74FC">
            <w:pPr>
              <w:rPr>
                <w:rFonts w:ascii="Times New Roman" w:hAnsi="Times New Roman" w:cs="Times New Roman"/>
                <w:szCs w:val="21"/>
              </w:rPr>
            </w:pPr>
            <w:r>
              <w:rPr>
                <w:rFonts w:ascii="Times New Roman" w:hAnsi="Times New Roman" w:cs="Times New Roman"/>
                <w:szCs w:val="21"/>
              </w:rPr>
              <w:t>⑤</w:t>
            </w:r>
            <w:r>
              <w:rPr>
                <w:rFonts w:ascii="Times New Roman" w:hAnsi="Times New Roman" w:cs="Times New Roman"/>
                <w:szCs w:val="21"/>
              </w:rPr>
              <w:t>项目是否与相关部门同类项目或部门内部相关项目重复。</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c>
          <w:tcPr>
            <w:tcW w:w="2870"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20%</w:t>
            </w:r>
            <w:r>
              <w:rPr>
                <w:rFonts w:ascii="Times New Roman" w:hAnsi="Times New Roman" w:cs="Times New Roman"/>
                <w:color w:val="000000" w:themeColor="text1"/>
                <w:szCs w:val="21"/>
              </w:rPr>
              <w:t>权重，每个指标执行情况分达成、部分达成、未达成三档，按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2</w:t>
            </w:r>
          </w:p>
        </w:tc>
      </w:tr>
      <w:tr w:rsidR="00897864">
        <w:trPr>
          <w:trHeight w:val="1383"/>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立项程序规范性</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kern w:val="0"/>
                <w:szCs w:val="21"/>
              </w:rPr>
              <w:t>规范</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项目是否按照规定的程序申请设立；</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审批文件、材料是否符合相关要求；</w:t>
            </w:r>
          </w:p>
          <w:p w:rsidR="00897864" w:rsidRDefault="002F74FC">
            <w:pPr>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事前是否已经过必要的可行性研究、专家论证、风险评估、绩效评估、集体决策。</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c>
          <w:tcPr>
            <w:tcW w:w="2870" w:type="dxa"/>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1/3</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2</w:t>
            </w:r>
          </w:p>
        </w:tc>
      </w:tr>
      <w:tr w:rsidR="00897864">
        <w:trPr>
          <w:trHeight w:val="1843"/>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绩效目标</w:t>
            </w: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绩效目标合理性</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kern w:val="0"/>
                <w:szCs w:val="21"/>
              </w:rPr>
              <w:t>合理</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项目是否有绩效目标；</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项目绩效目标与实际工作内容是否具有相关性；</w:t>
            </w:r>
          </w:p>
          <w:p w:rsidR="00897864" w:rsidRDefault="002F74FC">
            <w:pPr>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项目预期产出效益和效果是否符合正常的业绩水平；</w:t>
            </w:r>
          </w:p>
          <w:p w:rsidR="00897864" w:rsidRDefault="002F74FC">
            <w:pPr>
              <w:rPr>
                <w:rFonts w:ascii="Times New Roman" w:hAnsi="Times New Roman" w:cs="Times New Roman"/>
                <w:szCs w:val="21"/>
              </w:rPr>
            </w:pPr>
            <w:r>
              <w:rPr>
                <w:rFonts w:ascii="Times New Roman" w:hAnsi="Times New Roman" w:cs="Times New Roman"/>
                <w:szCs w:val="21"/>
              </w:rPr>
              <w:t>④</w:t>
            </w:r>
            <w:r>
              <w:rPr>
                <w:rFonts w:ascii="Times New Roman" w:hAnsi="Times New Roman" w:cs="Times New Roman"/>
                <w:szCs w:val="21"/>
              </w:rPr>
              <w:t>是否与预算确定的项目投资额或资金量相匹配。</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c>
          <w:tcPr>
            <w:tcW w:w="2870"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25%</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2</w:t>
            </w:r>
          </w:p>
        </w:tc>
      </w:tr>
      <w:tr w:rsidR="00897864">
        <w:trPr>
          <w:trHeight w:val="408"/>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绩效指标明确性</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明确</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是否将项目绩效目标细化分解为具体的绩效指标；</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是否通过清晰、可衡量的指标</w:t>
            </w:r>
            <w:proofErr w:type="gramStart"/>
            <w:r>
              <w:rPr>
                <w:rFonts w:ascii="Times New Roman" w:hAnsi="Times New Roman" w:cs="Times New Roman"/>
                <w:szCs w:val="21"/>
              </w:rPr>
              <w:t>值予以</w:t>
            </w:r>
            <w:proofErr w:type="gramEnd"/>
            <w:r>
              <w:rPr>
                <w:rFonts w:ascii="Times New Roman" w:hAnsi="Times New Roman" w:cs="Times New Roman"/>
                <w:szCs w:val="21"/>
              </w:rPr>
              <w:t>体现；</w:t>
            </w:r>
          </w:p>
          <w:p w:rsidR="00897864" w:rsidRDefault="002F74FC">
            <w:pPr>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是否与项目目标任务数或计划数相对应。</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c>
          <w:tcPr>
            <w:tcW w:w="2870"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1/3</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2</w:t>
            </w:r>
          </w:p>
        </w:tc>
      </w:tr>
      <w:tr w:rsidR="00897864">
        <w:trPr>
          <w:trHeight w:val="607"/>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资金投入</w:t>
            </w: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预算编制科学性</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科学</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预算编制是否经过科学论证；</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预算内容与项目内容是否匹配；</w:t>
            </w:r>
          </w:p>
          <w:p w:rsidR="00897864" w:rsidRDefault="002F74FC">
            <w:pPr>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预算额度测算依据是否充分，是否按照标准编制；</w:t>
            </w:r>
          </w:p>
          <w:p w:rsidR="00897864" w:rsidRDefault="002F74FC">
            <w:pPr>
              <w:rPr>
                <w:rFonts w:ascii="Times New Roman" w:hAnsi="Times New Roman" w:cs="Times New Roman"/>
                <w:szCs w:val="21"/>
              </w:rPr>
            </w:pPr>
            <w:r>
              <w:rPr>
                <w:rFonts w:ascii="Times New Roman" w:hAnsi="Times New Roman" w:cs="Times New Roman"/>
                <w:szCs w:val="21"/>
              </w:rPr>
              <w:t>④</w:t>
            </w:r>
            <w:r>
              <w:rPr>
                <w:rFonts w:ascii="Times New Roman" w:hAnsi="Times New Roman" w:cs="Times New Roman"/>
                <w:szCs w:val="21"/>
              </w:rPr>
              <w:t>预算确定的项目投资额或资金量是否与工作任务相匹配。</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c>
          <w:tcPr>
            <w:tcW w:w="2870"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25%</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2</w:t>
            </w:r>
          </w:p>
        </w:tc>
      </w:tr>
      <w:tr w:rsidR="00897864">
        <w:trPr>
          <w:trHeight w:val="1586"/>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资金分配合理性</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合理</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预算资金分配依据是否充分；</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资金分配额度是否合理，与项目单位或地方实际是否相适应。</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c>
          <w:tcPr>
            <w:tcW w:w="2870"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50%</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2</w:t>
            </w:r>
          </w:p>
        </w:tc>
      </w:tr>
      <w:tr w:rsidR="00897864">
        <w:trPr>
          <w:trHeight w:val="2012"/>
          <w:jc w:val="center"/>
        </w:trPr>
        <w:tc>
          <w:tcPr>
            <w:tcW w:w="792"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过程指标</w:t>
            </w:r>
          </w:p>
          <w:p w:rsidR="00897864" w:rsidRDefault="002F74FC">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18</w:t>
            </w:r>
            <w:r>
              <w:rPr>
                <w:rFonts w:ascii="Times New Roman" w:hAnsi="Times New Roman" w:cs="Times New Roman"/>
                <w:szCs w:val="21"/>
              </w:rPr>
              <w:t>分）</w:t>
            </w:r>
          </w:p>
          <w:p w:rsidR="00897864" w:rsidRDefault="00897864">
            <w:pPr>
              <w:rPr>
                <w:rFonts w:ascii="Times New Roman" w:hAnsi="Times New Roman" w:cs="Times New Roman"/>
                <w:szCs w:val="21"/>
              </w:rPr>
            </w:pPr>
          </w:p>
        </w:tc>
        <w:tc>
          <w:tcPr>
            <w:tcW w:w="750"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资金管理</w:t>
            </w: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资金到位率</w:t>
            </w:r>
          </w:p>
        </w:tc>
        <w:tc>
          <w:tcPr>
            <w:tcW w:w="780" w:type="dxa"/>
            <w:vAlign w:val="center"/>
          </w:tcPr>
          <w:p w:rsidR="00897864" w:rsidRDefault="002F74FC">
            <w:pPr>
              <w:jc w:val="center"/>
              <w:rPr>
                <w:rFonts w:ascii="Times New Roman" w:hAnsi="Times New Roman" w:cs="Times New Roman"/>
                <w:szCs w:val="21"/>
              </w:rPr>
            </w:pPr>
            <w:bookmarkStart w:id="1" w:name="OLE_LINK1"/>
            <w:r>
              <w:rPr>
                <w:rFonts w:ascii="Times New Roman" w:hAnsi="Times New Roman" w:cs="Times New Roman"/>
                <w:szCs w:val="21"/>
              </w:rPr>
              <w:t>100%</w:t>
            </w:r>
            <w:bookmarkEnd w:id="1"/>
          </w:p>
        </w:tc>
        <w:tc>
          <w:tcPr>
            <w:tcW w:w="3773" w:type="dxa"/>
            <w:vAlign w:val="center"/>
          </w:tcPr>
          <w:p w:rsidR="00897864" w:rsidRDefault="002F74FC">
            <w:pPr>
              <w:jc w:val="lef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资金到位率</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（实际到位资金</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预算资金）</w:t>
            </w:r>
            <w:r>
              <w:rPr>
                <w:rFonts w:ascii="Times New Roman" w:eastAsia="宋体" w:hAnsi="Times New Roman" w:cs="Times New Roman"/>
                <w:color w:val="000000" w:themeColor="text1"/>
                <w:szCs w:val="21"/>
              </w:rPr>
              <w:t>×100%</w:t>
            </w:r>
            <w:r>
              <w:rPr>
                <w:rFonts w:ascii="Times New Roman" w:eastAsia="宋体" w:hAnsi="Times New Roman" w:cs="Times New Roman"/>
                <w:color w:val="000000" w:themeColor="text1"/>
                <w:szCs w:val="21"/>
              </w:rPr>
              <w:t>。</w:t>
            </w:r>
          </w:p>
          <w:p w:rsidR="00897864" w:rsidRDefault="002F74FC">
            <w:pPr>
              <w:jc w:val="lef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实际到位资金：一定时期（本年度或项目期）内落实到具体项目的资金。</w:t>
            </w:r>
          </w:p>
          <w:p w:rsidR="00897864" w:rsidRDefault="002F74FC">
            <w:pPr>
              <w:rPr>
                <w:rFonts w:ascii="Times New Roman" w:hAnsi="Times New Roman" w:cs="Times New Roman"/>
                <w:szCs w:val="21"/>
              </w:rPr>
            </w:pPr>
            <w:r>
              <w:rPr>
                <w:rFonts w:ascii="Times New Roman" w:eastAsia="宋体" w:hAnsi="Times New Roman" w:cs="Times New Roman"/>
                <w:color w:val="000000" w:themeColor="text1"/>
                <w:szCs w:val="21"/>
              </w:rPr>
              <w:t>预算资金：一定时期（本年度或项目期）</w:t>
            </w:r>
            <w:proofErr w:type="gramStart"/>
            <w:r>
              <w:rPr>
                <w:rFonts w:ascii="Times New Roman" w:eastAsia="宋体" w:hAnsi="Times New Roman" w:cs="Times New Roman"/>
                <w:color w:val="000000" w:themeColor="text1"/>
                <w:szCs w:val="21"/>
              </w:rPr>
              <w:t>内预算</w:t>
            </w:r>
            <w:proofErr w:type="gramEnd"/>
            <w:r>
              <w:rPr>
                <w:rFonts w:ascii="Times New Roman" w:eastAsia="宋体" w:hAnsi="Times New Roman" w:cs="Times New Roman"/>
                <w:color w:val="000000" w:themeColor="text1"/>
                <w:szCs w:val="21"/>
              </w:rPr>
              <w:t>安排到具体项目的资金。</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3</w:t>
            </w:r>
          </w:p>
        </w:tc>
        <w:tc>
          <w:tcPr>
            <w:tcW w:w="2870"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得分</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资金到位率</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分值。</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3</w:t>
            </w:r>
          </w:p>
        </w:tc>
      </w:tr>
      <w:tr w:rsidR="00897864">
        <w:trPr>
          <w:trHeight w:val="1538"/>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预算执行率</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100%</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预算执行率</w:t>
            </w:r>
            <w:r>
              <w:rPr>
                <w:rFonts w:ascii="Times New Roman" w:hAnsi="Times New Roman" w:cs="Times New Roman"/>
                <w:szCs w:val="21"/>
              </w:rPr>
              <w:t>=</w:t>
            </w:r>
            <w:r>
              <w:rPr>
                <w:rFonts w:ascii="Times New Roman" w:hAnsi="Times New Roman" w:cs="Times New Roman"/>
                <w:szCs w:val="21"/>
              </w:rPr>
              <w:t>（实际支出资金</w:t>
            </w:r>
            <w:r>
              <w:rPr>
                <w:rFonts w:ascii="Times New Roman" w:hAnsi="Times New Roman" w:cs="Times New Roman"/>
                <w:szCs w:val="21"/>
              </w:rPr>
              <w:t>/</w:t>
            </w:r>
            <w:r>
              <w:rPr>
                <w:rFonts w:ascii="Times New Roman" w:hAnsi="Times New Roman" w:cs="Times New Roman"/>
                <w:szCs w:val="21"/>
              </w:rPr>
              <w:t>实际到位资金）</w:t>
            </w:r>
            <w:r>
              <w:rPr>
                <w:rFonts w:ascii="Times New Roman" w:hAnsi="Times New Roman" w:cs="Times New Roman"/>
                <w:szCs w:val="21"/>
              </w:rPr>
              <w:t>×100%</w:t>
            </w:r>
            <w:r>
              <w:rPr>
                <w:rFonts w:ascii="Times New Roman" w:hAnsi="Times New Roman" w:cs="Times New Roman"/>
                <w:szCs w:val="21"/>
              </w:rPr>
              <w:t>。</w:t>
            </w:r>
          </w:p>
          <w:p w:rsidR="00897864" w:rsidRDefault="002F74FC">
            <w:pPr>
              <w:rPr>
                <w:rFonts w:ascii="Times New Roman" w:hAnsi="Times New Roman" w:cs="Times New Roman"/>
                <w:szCs w:val="21"/>
              </w:rPr>
            </w:pPr>
            <w:r>
              <w:rPr>
                <w:rFonts w:ascii="Times New Roman" w:hAnsi="Times New Roman" w:cs="Times New Roman"/>
                <w:szCs w:val="21"/>
              </w:rPr>
              <w:t>实际支出资金：一定时期（本年度或项目期）内项目实际拨付的资金。</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3</w:t>
            </w:r>
          </w:p>
        </w:tc>
        <w:tc>
          <w:tcPr>
            <w:tcW w:w="2870"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得分</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资金到位率</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分值。</w:t>
            </w:r>
          </w:p>
        </w:tc>
        <w:tc>
          <w:tcPr>
            <w:tcW w:w="648"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1.5</w:t>
            </w:r>
          </w:p>
        </w:tc>
      </w:tr>
      <w:tr w:rsidR="00897864">
        <w:trPr>
          <w:trHeight w:val="2963"/>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资金使用合</w:t>
            </w:r>
            <w:proofErr w:type="gramStart"/>
            <w:r>
              <w:rPr>
                <w:rFonts w:ascii="Times New Roman" w:hAnsi="Times New Roman" w:cs="Times New Roman"/>
                <w:szCs w:val="21"/>
              </w:rPr>
              <w:t>规</w:t>
            </w:r>
            <w:proofErr w:type="gramEnd"/>
            <w:r>
              <w:rPr>
                <w:rFonts w:ascii="Times New Roman" w:hAnsi="Times New Roman" w:cs="Times New Roman"/>
                <w:szCs w:val="21"/>
              </w:rPr>
              <w:t>性</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合理</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是否符合国家财经法规和财务管理制度以及有关专项资金管理办法的规定；</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资金的拨付是否有完整的审批程序和手续；</w:t>
            </w:r>
          </w:p>
          <w:p w:rsidR="00897864" w:rsidRDefault="002F74FC">
            <w:pPr>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是否符合项目预算批复或合同规定的用途；</w:t>
            </w:r>
          </w:p>
          <w:p w:rsidR="00897864" w:rsidRDefault="002F74FC">
            <w:pPr>
              <w:rPr>
                <w:rFonts w:ascii="Times New Roman" w:hAnsi="Times New Roman" w:cs="Times New Roman"/>
                <w:szCs w:val="21"/>
              </w:rPr>
            </w:pPr>
            <w:r>
              <w:rPr>
                <w:rFonts w:ascii="Times New Roman" w:hAnsi="Times New Roman" w:cs="Times New Roman"/>
                <w:szCs w:val="21"/>
              </w:rPr>
              <w:t>④</w:t>
            </w:r>
            <w:r>
              <w:rPr>
                <w:rFonts w:ascii="Times New Roman" w:hAnsi="Times New Roman" w:cs="Times New Roman"/>
                <w:szCs w:val="21"/>
              </w:rPr>
              <w:t>是否存在截留、挤占、挪用、虚列支出等情况。</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4</w:t>
            </w:r>
          </w:p>
        </w:tc>
        <w:tc>
          <w:tcPr>
            <w:tcW w:w="2870"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25%</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4</w:t>
            </w:r>
          </w:p>
        </w:tc>
      </w:tr>
      <w:tr w:rsidR="00897864">
        <w:trPr>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组织实施</w:t>
            </w: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管理制度健全性</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健全</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是否已制定或具有相应的财务和业务管理等制度；</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财务和业务管理等制度是否合法、合</w:t>
            </w:r>
            <w:proofErr w:type="gramStart"/>
            <w:r>
              <w:rPr>
                <w:rFonts w:ascii="Times New Roman" w:hAnsi="Times New Roman" w:cs="Times New Roman"/>
                <w:szCs w:val="21"/>
              </w:rPr>
              <w:t>规</w:t>
            </w:r>
            <w:proofErr w:type="gramEnd"/>
            <w:r>
              <w:rPr>
                <w:rFonts w:ascii="Times New Roman" w:hAnsi="Times New Roman" w:cs="Times New Roman"/>
                <w:szCs w:val="21"/>
              </w:rPr>
              <w:t>、完整。</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c>
          <w:tcPr>
            <w:tcW w:w="2870"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50%</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2</w:t>
            </w:r>
          </w:p>
        </w:tc>
      </w:tr>
      <w:tr w:rsidR="00897864">
        <w:trPr>
          <w:trHeight w:val="3944"/>
          <w:jc w:val="center"/>
        </w:trPr>
        <w:tc>
          <w:tcPr>
            <w:tcW w:w="792" w:type="dxa"/>
            <w:vMerge/>
            <w:tcBorders>
              <w:bottom w:val="single" w:sz="4" w:space="0" w:color="auto"/>
            </w:tcBorders>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制度执行有效性</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有效</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项目是否制定合理的实施计划，实施过程中是否遵守相关法律法规和相关管理规定，并按照规定程序实施项目，进度是否符合计划；</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项目调整及支出调整手续是否完备，资产管理是否规范，是否开展监督检查、绩效监控和评价；</w:t>
            </w:r>
          </w:p>
          <w:p w:rsidR="00897864" w:rsidRDefault="002F74FC">
            <w:pPr>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项目合同书、验收报告、技术鉴定、监督检查、绩效管理等资料是否齐全并及时归档；</w:t>
            </w:r>
          </w:p>
          <w:p w:rsidR="00897864" w:rsidRDefault="002F74FC">
            <w:pPr>
              <w:rPr>
                <w:rFonts w:ascii="Times New Roman" w:hAnsi="Times New Roman" w:cs="Times New Roman"/>
                <w:szCs w:val="21"/>
              </w:rPr>
            </w:pPr>
            <w:r>
              <w:rPr>
                <w:rFonts w:ascii="Times New Roman" w:hAnsi="Times New Roman" w:cs="Times New Roman"/>
                <w:szCs w:val="21"/>
              </w:rPr>
              <w:t>④</w:t>
            </w:r>
            <w:r>
              <w:rPr>
                <w:rFonts w:ascii="Times New Roman" w:hAnsi="Times New Roman" w:cs="Times New Roman"/>
                <w:szCs w:val="21"/>
              </w:rPr>
              <w:t>项目实施的组织机构、人员条件、场地设备、信息支撑等是否落实到位。</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6</w:t>
            </w:r>
          </w:p>
        </w:tc>
        <w:tc>
          <w:tcPr>
            <w:tcW w:w="2870" w:type="dxa"/>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25%</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6</w:t>
            </w:r>
          </w:p>
        </w:tc>
      </w:tr>
      <w:tr w:rsidR="00897864">
        <w:trPr>
          <w:trHeight w:val="204"/>
          <w:jc w:val="center"/>
        </w:trPr>
        <w:tc>
          <w:tcPr>
            <w:tcW w:w="792" w:type="dxa"/>
            <w:vMerge w:val="restart"/>
            <w:tcBorders>
              <w:top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lastRenderedPageBreak/>
              <w:t>成本指标（</w:t>
            </w:r>
            <w:r>
              <w:rPr>
                <w:rFonts w:ascii="Times New Roman" w:hAnsi="Times New Roman" w:cs="Times New Roman"/>
                <w:color w:val="000000" w:themeColor="text1"/>
                <w:szCs w:val="21"/>
              </w:rPr>
              <w:t>5</w:t>
            </w:r>
            <w:r>
              <w:rPr>
                <w:rFonts w:ascii="Times New Roman" w:hAnsi="Times New Roman" w:cs="Times New Roman"/>
                <w:szCs w:val="21"/>
              </w:rPr>
              <w:t>分）</w:t>
            </w:r>
          </w:p>
        </w:tc>
        <w:tc>
          <w:tcPr>
            <w:tcW w:w="750" w:type="dxa"/>
            <w:tcBorders>
              <w:top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经济成本</w:t>
            </w: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以</w:t>
            </w:r>
            <w:r>
              <w:rPr>
                <w:rFonts w:ascii="Times New Roman" w:hAnsi="Times New Roman" w:cs="Times New Roman"/>
                <w:szCs w:val="21"/>
              </w:rPr>
              <w:t>“</w:t>
            </w:r>
            <w:r>
              <w:rPr>
                <w:rFonts w:ascii="Times New Roman" w:hAnsi="Times New Roman" w:cs="Times New Roman"/>
                <w:szCs w:val="21"/>
              </w:rPr>
              <w:t>多算合一</w:t>
            </w:r>
            <w:r>
              <w:rPr>
                <w:rFonts w:ascii="Times New Roman" w:hAnsi="Times New Roman" w:cs="Times New Roman"/>
                <w:szCs w:val="21"/>
              </w:rPr>
              <w:t>”</w:t>
            </w:r>
            <w:r>
              <w:rPr>
                <w:rFonts w:ascii="Times New Roman" w:hAnsi="Times New Roman" w:cs="Times New Roman"/>
                <w:szCs w:val="21"/>
              </w:rPr>
              <w:t>系统成果推进绿色金融信贷工作</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较高</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是否开展了绿色金融相关课题研究；</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是否开展了建筑碳排放相关课题研究；</w:t>
            </w:r>
          </w:p>
          <w:p w:rsidR="00897864" w:rsidRDefault="002F74FC">
            <w:pPr>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是否开展了</w:t>
            </w:r>
            <w:r>
              <w:rPr>
                <w:rFonts w:ascii="Times New Roman" w:hAnsi="Times New Roman" w:cs="Times New Roman"/>
                <w:szCs w:val="21"/>
              </w:rPr>
              <w:t>“</w:t>
            </w:r>
            <w:r>
              <w:rPr>
                <w:rFonts w:ascii="Times New Roman" w:hAnsi="Times New Roman" w:cs="Times New Roman"/>
                <w:szCs w:val="21"/>
              </w:rPr>
              <w:t>多算合一</w:t>
            </w:r>
            <w:r>
              <w:rPr>
                <w:rFonts w:ascii="Times New Roman" w:hAnsi="Times New Roman" w:cs="Times New Roman"/>
                <w:szCs w:val="21"/>
              </w:rPr>
              <w:t>”</w:t>
            </w:r>
            <w:r>
              <w:rPr>
                <w:rFonts w:ascii="Times New Roman" w:hAnsi="Times New Roman" w:cs="Times New Roman"/>
                <w:szCs w:val="21"/>
              </w:rPr>
              <w:t>系统碳排放测算工作；</w:t>
            </w:r>
          </w:p>
          <w:p w:rsidR="00897864" w:rsidRDefault="002F74FC">
            <w:pPr>
              <w:rPr>
                <w:rFonts w:ascii="Times New Roman" w:hAnsi="Times New Roman" w:cs="Times New Roman"/>
                <w:szCs w:val="21"/>
              </w:rPr>
            </w:pPr>
            <w:r>
              <w:rPr>
                <w:rFonts w:ascii="Times New Roman" w:hAnsi="Times New Roman" w:cs="Times New Roman"/>
                <w:szCs w:val="21"/>
              </w:rPr>
              <w:t>④</w:t>
            </w:r>
            <w:r>
              <w:rPr>
                <w:rFonts w:ascii="Times New Roman" w:hAnsi="Times New Roman" w:cs="Times New Roman"/>
                <w:szCs w:val="21"/>
              </w:rPr>
              <w:t>是否在实际项目中开展了绿色建材</w:t>
            </w:r>
            <w:proofErr w:type="gramStart"/>
            <w:r>
              <w:rPr>
                <w:rFonts w:ascii="Times New Roman" w:hAnsi="Times New Roman" w:cs="Times New Roman"/>
                <w:szCs w:val="21"/>
              </w:rPr>
              <w:t>应用及碳排放</w:t>
            </w:r>
            <w:proofErr w:type="gramEnd"/>
            <w:r>
              <w:rPr>
                <w:rFonts w:ascii="Times New Roman" w:hAnsi="Times New Roman" w:cs="Times New Roman"/>
                <w:szCs w:val="21"/>
              </w:rPr>
              <w:t>计算。</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c>
          <w:tcPr>
            <w:tcW w:w="2870" w:type="dxa"/>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25%</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FF0000"/>
                <w:szCs w:val="21"/>
              </w:rPr>
            </w:pPr>
            <w:r>
              <w:rPr>
                <w:rFonts w:ascii="Times New Roman" w:hAnsi="Times New Roman" w:cs="Times New Roman"/>
                <w:szCs w:val="21"/>
              </w:rPr>
              <w:t>1</w:t>
            </w:r>
          </w:p>
        </w:tc>
      </w:tr>
      <w:tr w:rsidR="00897864">
        <w:trPr>
          <w:trHeight w:val="204"/>
          <w:jc w:val="center"/>
        </w:trPr>
        <w:tc>
          <w:tcPr>
            <w:tcW w:w="792" w:type="dxa"/>
            <w:vMerge/>
            <w:vAlign w:val="center"/>
          </w:tcPr>
          <w:p w:rsidR="00897864" w:rsidRDefault="00897864">
            <w:pPr>
              <w:jc w:val="center"/>
              <w:rPr>
                <w:rFonts w:ascii="Times New Roman" w:hAnsi="Times New Roman" w:cs="Times New Roman"/>
              </w:rPr>
            </w:pPr>
          </w:p>
        </w:tc>
        <w:tc>
          <w:tcPr>
            <w:tcW w:w="750" w:type="dxa"/>
            <w:tcBorders>
              <w:top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社会成本</w:t>
            </w: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提高绿色建材占比</w:t>
            </w:r>
          </w:p>
        </w:tc>
        <w:tc>
          <w:tcPr>
            <w:tcW w:w="780" w:type="dxa"/>
            <w:vAlign w:val="center"/>
          </w:tcPr>
          <w:p w:rsidR="00897864" w:rsidRDefault="002F74FC">
            <w:pPr>
              <w:rPr>
                <w:rFonts w:ascii="Times New Roman" w:hAnsi="Times New Roman" w:cs="Times New Roman"/>
                <w:szCs w:val="21"/>
              </w:rPr>
            </w:pPr>
            <w:r>
              <w:rPr>
                <w:rFonts w:ascii="Times New Roman" w:hAnsi="Times New Roman" w:cs="Times New Roman"/>
                <w:szCs w:val="21"/>
              </w:rPr>
              <w:t>较高</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是否对行业开展绿色建材需求标准宣贯指引；</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是否对相关企业开展绿色低碳转型进行引导；</w:t>
            </w:r>
          </w:p>
          <w:p w:rsidR="00897864" w:rsidRDefault="002F74FC">
            <w:pPr>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是否建立绿色低碳建材转型服务机制；</w:t>
            </w:r>
          </w:p>
          <w:p w:rsidR="00897864" w:rsidRDefault="002F74FC">
            <w:pPr>
              <w:rPr>
                <w:rFonts w:ascii="Times New Roman" w:hAnsi="Times New Roman" w:cs="Times New Roman"/>
                <w:szCs w:val="21"/>
              </w:rPr>
            </w:pPr>
            <w:r>
              <w:rPr>
                <w:rFonts w:ascii="Times New Roman" w:hAnsi="Times New Roman" w:cs="Times New Roman"/>
                <w:szCs w:val="21"/>
              </w:rPr>
              <w:t>④</w:t>
            </w:r>
            <w:r>
              <w:rPr>
                <w:rFonts w:ascii="Times New Roman" w:hAnsi="Times New Roman" w:cs="Times New Roman"/>
                <w:szCs w:val="21"/>
              </w:rPr>
              <w:t>是否对企业产品绿色低碳转型开展奖补。</w:t>
            </w: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c>
          <w:tcPr>
            <w:tcW w:w="2870" w:type="dxa"/>
            <w:vAlign w:val="center"/>
          </w:tcPr>
          <w:p w:rsidR="00897864" w:rsidRDefault="002F74FC">
            <w:pPr>
              <w:rPr>
                <w:rFonts w:ascii="Times New Roman" w:hAnsi="Times New Roman" w:cs="Times New Roman"/>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25%</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r>
      <w:tr w:rsidR="00897864">
        <w:trPr>
          <w:trHeight w:val="204"/>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tcBorders>
              <w:top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生态成本</w:t>
            </w: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降低建筑碳排放</w:t>
            </w:r>
          </w:p>
        </w:tc>
        <w:tc>
          <w:tcPr>
            <w:tcW w:w="780"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较高</w:t>
            </w:r>
          </w:p>
        </w:tc>
        <w:tc>
          <w:tcPr>
            <w:tcW w:w="3773" w:type="dxa"/>
            <w:tcBorders>
              <w:bottom w:val="single" w:sz="4" w:space="0" w:color="auto"/>
            </w:tcBorders>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项目是否按标准要求采购了绿色建材；</w:t>
            </w:r>
          </w:p>
          <w:p w:rsidR="00897864" w:rsidRDefault="002F74FC">
            <w:pPr>
              <w:jc w:val="left"/>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对项目使用的绿色建材依据相关标准开展核算，核算过程资料完整。</w:t>
            </w:r>
          </w:p>
        </w:tc>
        <w:tc>
          <w:tcPr>
            <w:tcW w:w="610"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1</w:t>
            </w:r>
          </w:p>
        </w:tc>
        <w:tc>
          <w:tcPr>
            <w:tcW w:w="2870" w:type="dxa"/>
            <w:vAlign w:val="center"/>
          </w:tcPr>
          <w:p w:rsidR="00897864" w:rsidRDefault="002F74FC">
            <w:pPr>
              <w:rPr>
                <w:rFonts w:ascii="Times New Roman" w:hAnsi="Times New Roman" w:cs="Times New Roman"/>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50%</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1</w:t>
            </w:r>
          </w:p>
        </w:tc>
      </w:tr>
      <w:tr w:rsidR="00897864">
        <w:trPr>
          <w:trHeight w:val="904"/>
          <w:jc w:val="center"/>
        </w:trPr>
        <w:tc>
          <w:tcPr>
            <w:tcW w:w="792"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产出指标（</w:t>
            </w:r>
            <w:r>
              <w:rPr>
                <w:rFonts w:ascii="Times New Roman" w:hAnsi="Times New Roman" w:cs="Times New Roman"/>
                <w:color w:val="000000" w:themeColor="text1"/>
                <w:szCs w:val="21"/>
              </w:rPr>
              <w:t>25</w:t>
            </w:r>
            <w:r>
              <w:rPr>
                <w:rFonts w:ascii="Times New Roman" w:hAnsi="Times New Roman" w:cs="Times New Roman"/>
                <w:szCs w:val="21"/>
              </w:rPr>
              <w:t>分）</w:t>
            </w:r>
          </w:p>
        </w:tc>
        <w:tc>
          <w:tcPr>
            <w:tcW w:w="750"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数量指标</w:t>
            </w: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完成课题研究数量</w:t>
            </w:r>
          </w:p>
        </w:tc>
        <w:tc>
          <w:tcPr>
            <w:tcW w:w="780"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szCs w:val="21"/>
              </w:rPr>
              <w:t>个</w:t>
            </w:r>
          </w:p>
        </w:tc>
        <w:tc>
          <w:tcPr>
            <w:tcW w:w="3773" w:type="dxa"/>
            <w:tcBorders>
              <w:bottom w:val="single" w:sz="4" w:space="0" w:color="auto"/>
            </w:tcBorders>
            <w:vAlign w:val="center"/>
          </w:tcPr>
          <w:p w:rsidR="00897864" w:rsidRDefault="002F74FC">
            <w:pPr>
              <w:jc w:val="left"/>
              <w:rPr>
                <w:rFonts w:ascii="Times New Roman" w:hAnsi="Times New Roman" w:cs="Times New Roman"/>
                <w:szCs w:val="21"/>
              </w:rPr>
            </w:pPr>
            <w:r>
              <w:rPr>
                <w:rFonts w:ascii="Times New Roman" w:hAnsi="Times New Roman" w:cs="Times New Roman"/>
                <w:szCs w:val="21"/>
              </w:rPr>
              <w:t>完成研究性课题是否达到预定数目</w:t>
            </w:r>
          </w:p>
        </w:tc>
        <w:tc>
          <w:tcPr>
            <w:tcW w:w="610" w:type="dxa"/>
            <w:tcBorders>
              <w:bottom w:val="single" w:sz="4" w:space="0" w:color="auto"/>
            </w:tcBorders>
            <w:vAlign w:val="center"/>
          </w:tcPr>
          <w:p w:rsidR="00897864" w:rsidRDefault="002F74FC">
            <w:pPr>
              <w:jc w:val="center"/>
              <w:rPr>
                <w:rFonts w:ascii="Times New Roman" w:hAnsi="Times New Roman" w:cs="Times New Roman"/>
              </w:rPr>
            </w:pPr>
            <w:r>
              <w:rPr>
                <w:rFonts w:ascii="Times New Roman" w:hAnsi="Times New Roman" w:cs="Times New Roman"/>
                <w:szCs w:val="21"/>
              </w:rPr>
              <w:t>5</w:t>
            </w:r>
          </w:p>
        </w:tc>
        <w:tc>
          <w:tcPr>
            <w:tcW w:w="2870" w:type="dxa"/>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指标按数量得分，每个</w:t>
            </w:r>
            <w:r>
              <w:rPr>
                <w:rFonts w:ascii="Times New Roman" w:hAnsi="Times New Roman" w:cs="Times New Roman"/>
                <w:color w:val="000000" w:themeColor="text1"/>
                <w:szCs w:val="21"/>
              </w:rPr>
              <w:t>1</w:t>
            </w:r>
            <w:r>
              <w:rPr>
                <w:rFonts w:ascii="Times New Roman" w:hAnsi="Times New Roman" w:cs="Times New Roman"/>
                <w:color w:val="000000" w:themeColor="text1"/>
                <w:szCs w:val="21"/>
              </w:rPr>
              <w:t>分，全部完成得</w:t>
            </w:r>
            <w:r>
              <w:rPr>
                <w:rFonts w:ascii="Times New Roman" w:hAnsi="Times New Roman" w:cs="Times New Roman"/>
                <w:color w:val="000000" w:themeColor="text1"/>
                <w:szCs w:val="21"/>
              </w:rPr>
              <w:t>5</w:t>
            </w:r>
            <w:r>
              <w:rPr>
                <w:rFonts w:ascii="Times New Roman" w:hAnsi="Times New Roman" w:cs="Times New Roman"/>
                <w:color w:val="000000" w:themeColor="text1"/>
                <w:szCs w:val="21"/>
              </w:rPr>
              <w:t>分。</w:t>
            </w:r>
          </w:p>
        </w:tc>
        <w:tc>
          <w:tcPr>
            <w:tcW w:w="648"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5</w:t>
            </w:r>
          </w:p>
        </w:tc>
      </w:tr>
      <w:tr w:rsidR="00897864">
        <w:trPr>
          <w:trHeight w:val="1373"/>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促进项目完成绿色建材占比核定数量</w:t>
            </w:r>
          </w:p>
        </w:tc>
        <w:tc>
          <w:tcPr>
            <w:tcW w:w="780"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szCs w:val="21"/>
              </w:rPr>
              <w:t>个</w:t>
            </w:r>
          </w:p>
        </w:tc>
        <w:tc>
          <w:tcPr>
            <w:tcW w:w="3773" w:type="dxa"/>
            <w:tcBorders>
              <w:bottom w:val="single" w:sz="4" w:space="0" w:color="auto"/>
            </w:tcBorders>
            <w:vAlign w:val="center"/>
          </w:tcPr>
          <w:p w:rsidR="00897864" w:rsidRDefault="002F74FC">
            <w:pPr>
              <w:jc w:val="left"/>
              <w:rPr>
                <w:rFonts w:ascii="Times New Roman" w:hAnsi="Times New Roman" w:cs="Times New Roman"/>
                <w:szCs w:val="21"/>
              </w:rPr>
            </w:pPr>
            <w:r>
              <w:rPr>
                <w:rFonts w:ascii="Times New Roman" w:hAnsi="Times New Roman" w:cs="Times New Roman"/>
                <w:szCs w:val="21"/>
              </w:rPr>
              <w:t>项目完成绿色建材占比核定是否达到预定数目</w:t>
            </w:r>
          </w:p>
        </w:tc>
        <w:tc>
          <w:tcPr>
            <w:tcW w:w="610" w:type="dxa"/>
            <w:tcBorders>
              <w:bottom w:val="single" w:sz="4" w:space="0" w:color="auto"/>
            </w:tcBorders>
            <w:vAlign w:val="center"/>
          </w:tcPr>
          <w:p w:rsidR="00897864" w:rsidRDefault="002F74FC">
            <w:pPr>
              <w:jc w:val="center"/>
              <w:rPr>
                <w:rFonts w:ascii="Times New Roman" w:hAnsi="Times New Roman" w:cs="Times New Roman"/>
              </w:rPr>
            </w:pPr>
            <w:r>
              <w:rPr>
                <w:rFonts w:ascii="Times New Roman" w:hAnsi="Times New Roman" w:cs="Times New Roman"/>
                <w:szCs w:val="21"/>
              </w:rPr>
              <w:t>12</w:t>
            </w:r>
          </w:p>
        </w:tc>
        <w:tc>
          <w:tcPr>
            <w:tcW w:w="2870" w:type="dxa"/>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指标按数量得分，每个</w:t>
            </w:r>
            <w:r>
              <w:rPr>
                <w:rFonts w:ascii="Times New Roman" w:hAnsi="Times New Roman" w:cs="Times New Roman"/>
                <w:color w:val="000000" w:themeColor="text1"/>
                <w:szCs w:val="21"/>
              </w:rPr>
              <w:t>0.8</w:t>
            </w:r>
            <w:r>
              <w:rPr>
                <w:rFonts w:ascii="Times New Roman" w:hAnsi="Times New Roman" w:cs="Times New Roman"/>
                <w:color w:val="000000" w:themeColor="text1"/>
                <w:szCs w:val="21"/>
              </w:rPr>
              <w:t>分，全部完成得</w:t>
            </w:r>
            <w:r>
              <w:rPr>
                <w:rFonts w:ascii="Times New Roman" w:hAnsi="Times New Roman" w:cs="Times New Roman"/>
                <w:color w:val="000000" w:themeColor="text1"/>
                <w:szCs w:val="21"/>
              </w:rPr>
              <w:t>12</w:t>
            </w:r>
            <w:r>
              <w:rPr>
                <w:rFonts w:ascii="Times New Roman" w:hAnsi="Times New Roman" w:cs="Times New Roman"/>
                <w:color w:val="000000" w:themeColor="text1"/>
                <w:szCs w:val="21"/>
              </w:rPr>
              <w:t>分。</w:t>
            </w:r>
          </w:p>
        </w:tc>
        <w:tc>
          <w:tcPr>
            <w:tcW w:w="648"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12</w:t>
            </w:r>
          </w:p>
        </w:tc>
      </w:tr>
      <w:tr w:rsidR="00897864">
        <w:trPr>
          <w:trHeight w:val="1313"/>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取得绿色建材认证证书企业数量</w:t>
            </w:r>
          </w:p>
        </w:tc>
        <w:tc>
          <w:tcPr>
            <w:tcW w:w="780" w:type="dxa"/>
            <w:tcBorders>
              <w:top w:val="single" w:sz="4" w:space="0" w:color="auto"/>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szCs w:val="21"/>
              </w:rPr>
              <w:t>家</w:t>
            </w:r>
          </w:p>
        </w:tc>
        <w:tc>
          <w:tcPr>
            <w:tcW w:w="3773" w:type="dxa"/>
            <w:tcBorders>
              <w:top w:val="single" w:sz="4" w:space="0" w:color="auto"/>
              <w:bottom w:val="single" w:sz="4" w:space="0" w:color="auto"/>
            </w:tcBorders>
            <w:vAlign w:val="center"/>
          </w:tcPr>
          <w:p w:rsidR="00897864" w:rsidRDefault="002F74FC">
            <w:pPr>
              <w:jc w:val="left"/>
              <w:rPr>
                <w:rFonts w:ascii="Times New Roman" w:hAnsi="Times New Roman" w:cs="Times New Roman"/>
                <w:szCs w:val="21"/>
              </w:rPr>
            </w:pPr>
            <w:r>
              <w:rPr>
                <w:rFonts w:ascii="Times New Roman" w:hAnsi="Times New Roman" w:cs="Times New Roman"/>
                <w:szCs w:val="21"/>
              </w:rPr>
              <w:t>取得绿色建材认证证书企业数量是否达到预定数目</w:t>
            </w:r>
          </w:p>
        </w:tc>
        <w:tc>
          <w:tcPr>
            <w:tcW w:w="610" w:type="dxa"/>
            <w:tcBorders>
              <w:top w:val="single" w:sz="4" w:space="0" w:color="auto"/>
              <w:bottom w:val="single" w:sz="4" w:space="0" w:color="auto"/>
            </w:tcBorders>
            <w:vAlign w:val="center"/>
          </w:tcPr>
          <w:p w:rsidR="00897864" w:rsidRDefault="002F74FC">
            <w:pPr>
              <w:jc w:val="center"/>
              <w:rPr>
                <w:rFonts w:ascii="Times New Roman" w:hAnsi="Times New Roman" w:cs="Times New Roman"/>
              </w:rPr>
            </w:pPr>
            <w:r>
              <w:rPr>
                <w:rFonts w:ascii="Times New Roman" w:hAnsi="Times New Roman" w:cs="Times New Roman"/>
                <w:szCs w:val="21"/>
              </w:rPr>
              <w:t>4</w:t>
            </w:r>
          </w:p>
        </w:tc>
        <w:tc>
          <w:tcPr>
            <w:tcW w:w="2870"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指标按数量得分，每家</w:t>
            </w:r>
            <w:r>
              <w:rPr>
                <w:rFonts w:ascii="Times New Roman" w:hAnsi="Times New Roman" w:cs="Times New Roman"/>
                <w:color w:val="000000" w:themeColor="text1"/>
                <w:szCs w:val="21"/>
              </w:rPr>
              <w:t>0.5</w:t>
            </w:r>
            <w:r>
              <w:rPr>
                <w:rFonts w:ascii="Times New Roman" w:hAnsi="Times New Roman" w:cs="Times New Roman"/>
                <w:color w:val="000000" w:themeColor="text1"/>
                <w:szCs w:val="21"/>
              </w:rPr>
              <w:t>分，达到预定数目得</w:t>
            </w:r>
            <w:r>
              <w:rPr>
                <w:rFonts w:ascii="Times New Roman" w:hAnsi="Times New Roman" w:cs="Times New Roman"/>
                <w:color w:val="000000" w:themeColor="text1"/>
                <w:szCs w:val="21"/>
              </w:rPr>
              <w:t>4</w:t>
            </w:r>
            <w:r>
              <w:rPr>
                <w:rFonts w:ascii="Times New Roman" w:hAnsi="Times New Roman" w:cs="Times New Roman"/>
                <w:color w:val="000000" w:themeColor="text1"/>
                <w:szCs w:val="21"/>
              </w:rPr>
              <w:t>分。</w:t>
            </w:r>
          </w:p>
        </w:tc>
        <w:tc>
          <w:tcPr>
            <w:tcW w:w="648"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4</w:t>
            </w:r>
          </w:p>
        </w:tc>
      </w:tr>
      <w:tr w:rsidR="00897864">
        <w:trPr>
          <w:trHeight w:val="1715"/>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质量指标</w:t>
            </w:r>
          </w:p>
        </w:tc>
        <w:tc>
          <w:tcPr>
            <w:tcW w:w="1185"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补助符合标准规定</w:t>
            </w:r>
          </w:p>
        </w:tc>
        <w:tc>
          <w:tcPr>
            <w:tcW w:w="780"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符合</w:t>
            </w:r>
          </w:p>
        </w:tc>
        <w:tc>
          <w:tcPr>
            <w:tcW w:w="3773" w:type="dxa"/>
            <w:tcBorders>
              <w:bottom w:val="single" w:sz="4" w:space="0" w:color="auto"/>
            </w:tcBorders>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项目是否建立了相关标准或文件；</w:t>
            </w:r>
          </w:p>
          <w:p w:rsidR="00897864" w:rsidRDefault="002F74FC">
            <w:pPr>
              <w:jc w:val="left"/>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项目按照文件规定执行。</w:t>
            </w:r>
          </w:p>
        </w:tc>
        <w:tc>
          <w:tcPr>
            <w:tcW w:w="610" w:type="dxa"/>
            <w:tcBorders>
              <w:bottom w:val="single" w:sz="4" w:space="0" w:color="auto"/>
            </w:tcBorders>
            <w:vAlign w:val="center"/>
          </w:tcPr>
          <w:p w:rsidR="00897864" w:rsidRDefault="002F74FC">
            <w:pPr>
              <w:jc w:val="center"/>
              <w:rPr>
                <w:rFonts w:ascii="Times New Roman" w:hAnsi="Times New Roman" w:cs="Times New Roman"/>
              </w:rPr>
            </w:pPr>
            <w:r>
              <w:rPr>
                <w:rFonts w:ascii="Times New Roman" w:hAnsi="Times New Roman" w:cs="Times New Roman"/>
                <w:szCs w:val="21"/>
              </w:rPr>
              <w:t>1</w:t>
            </w:r>
          </w:p>
        </w:tc>
        <w:tc>
          <w:tcPr>
            <w:tcW w:w="2870" w:type="dxa"/>
            <w:tcBorders>
              <w:bottom w:val="single" w:sz="4" w:space="0" w:color="auto"/>
            </w:tcBorders>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50%</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1</w:t>
            </w:r>
          </w:p>
        </w:tc>
      </w:tr>
      <w:tr w:rsidR="00897864">
        <w:trPr>
          <w:trHeight w:val="1820"/>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课题研究达到立项要求</w:t>
            </w:r>
          </w:p>
        </w:tc>
        <w:tc>
          <w:tcPr>
            <w:tcW w:w="780"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达到</w:t>
            </w:r>
          </w:p>
        </w:tc>
        <w:tc>
          <w:tcPr>
            <w:tcW w:w="3773" w:type="dxa"/>
            <w:tcBorders>
              <w:bottom w:val="single" w:sz="4" w:space="0" w:color="auto"/>
            </w:tcBorders>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项目研究文件里是否明确了相关要求；</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项目按照要求执行并形成报告。</w:t>
            </w:r>
          </w:p>
        </w:tc>
        <w:tc>
          <w:tcPr>
            <w:tcW w:w="610" w:type="dxa"/>
            <w:tcBorders>
              <w:bottom w:val="single" w:sz="4" w:space="0" w:color="auto"/>
            </w:tcBorders>
            <w:vAlign w:val="center"/>
          </w:tcPr>
          <w:p w:rsidR="00897864" w:rsidRDefault="002F74FC">
            <w:pPr>
              <w:jc w:val="center"/>
              <w:rPr>
                <w:rFonts w:ascii="Times New Roman" w:hAnsi="Times New Roman" w:cs="Times New Roman"/>
              </w:rPr>
            </w:pPr>
            <w:r>
              <w:rPr>
                <w:rFonts w:ascii="Times New Roman" w:hAnsi="Times New Roman" w:cs="Times New Roman"/>
                <w:szCs w:val="21"/>
              </w:rPr>
              <w:t>2</w:t>
            </w:r>
          </w:p>
        </w:tc>
        <w:tc>
          <w:tcPr>
            <w:tcW w:w="2870" w:type="dxa"/>
            <w:tcBorders>
              <w:bottom w:val="single" w:sz="4" w:space="0" w:color="auto"/>
            </w:tcBorders>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50%</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r>
      <w:tr w:rsidR="00897864">
        <w:trPr>
          <w:trHeight w:val="1625"/>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采信登记系统按要求升级</w:t>
            </w:r>
          </w:p>
        </w:tc>
        <w:tc>
          <w:tcPr>
            <w:tcW w:w="780"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达到</w:t>
            </w:r>
          </w:p>
        </w:tc>
        <w:tc>
          <w:tcPr>
            <w:tcW w:w="3773" w:type="dxa"/>
            <w:tcBorders>
              <w:bottom w:val="single" w:sz="4" w:space="0" w:color="auto"/>
            </w:tcBorders>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是否建立采信登记系统；</w:t>
            </w:r>
          </w:p>
          <w:p w:rsidR="00897864" w:rsidRDefault="002F74FC">
            <w:pPr>
              <w:jc w:val="left"/>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是否明确采信登记系统升级要求；</w:t>
            </w:r>
          </w:p>
          <w:p w:rsidR="00897864" w:rsidRDefault="002F74FC">
            <w:pPr>
              <w:jc w:val="left"/>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是否按要求落实采信登记系统升级工作。</w:t>
            </w:r>
          </w:p>
        </w:tc>
        <w:tc>
          <w:tcPr>
            <w:tcW w:w="610" w:type="dxa"/>
            <w:tcBorders>
              <w:bottom w:val="single" w:sz="4" w:space="0" w:color="auto"/>
            </w:tcBorders>
            <w:vAlign w:val="center"/>
          </w:tcPr>
          <w:p w:rsidR="00897864" w:rsidRDefault="002F74FC">
            <w:pPr>
              <w:jc w:val="center"/>
              <w:rPr>
                <w:rFonts w:ascii="Times New Roman" w:hAnsi="Times New Roman" w:cs="Times New Roman"/>
              </w:rPr>
            </w:pPr>
            <w:r>
              <w:rPr>
                <w:rFonts w:ascii="Times New Roman" w:hAnsi="Times New Roman" w:cs="Times New Roman"/>
              </w:rPr>
              <w:t>1</w:t>
            </w:r>
          </w:p>
        </w:tc>
        <w:tc>
          <w:tcPr>
            <w:tcW w:w="2870" w:type="dxa"/>
            <w:tcBorders>
              <w:bottom w:val="single" w:sz="4" w:space="0" w:color="auto"/>
            </w:tcBorders>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1/3</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1</w:t>
            </w:r>
          </w:p>
        </w:tc>
      </w:tr>
      <w:tr w:rsidR="00897864">
        <w:trPr>
          <w:trHeight w:val="1625"/>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restart"/>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时效指标</w:t>
            </w:r>
          </w:p>
        </w:tc>
        <w:tc>
          <w:tcPr>
            <w:tcW w:w="1185"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课题完成时间</w:t>
            </w:r>
          </w:p>
        </w:tc>
        <w:tc>
          <w:tcPr>
            <w:tcW w:w="78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完成</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是否明确课题完成时间；</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是否在规定时间内完成课题研究内容并形成结论。</w:t>
            </w:r>
          </w:p>
        </w:tc>
        <w:tc>
          <w:tcPr>
            <w:tcW w:w="610" w:type="dxa"/>
            <w:vAlign w:val="center"/>
          </w:tcPr>
          <w:p w:rsidR="00897864" w:rsidRDefault="002F74FC">
            <w:pPr>
              <w:jc w:val="center"/>
              <w:rPr>
                <w:rFonts w:ascii="Times New Roman" w:hAnsi="Times New Roman" w:cs="Times New Roman"/>
              </w:rPr>
            </w:pPr>
            <w:r>
              <w:rPr>
                <w:rFonts w:ascii="Times New Roman" w:hAnsi="Times New Roman" w:cs="Times New Roman"/>
              </w:rPr>
              <w:t>2</w:t>
            </w:r>
          </w:p>
        </w:tc>
        <w:tc>
          <w:tcPr>
            <w:tcW w:w="2870" w:type="dxa"/>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50%</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r>
      <w:tr w:rsidR="00897864">
        <w:trPr>
          <w:trHeight w:val="1685"/>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信息平台运行维护完成时间</w:t>
            </w:r>
          </w:p>
        </w:tc>
        <w:tc>
          <w:tcPr>
            <w:tcW w:w="780"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完成</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是否明确了信息平台运行维护时间；</w:t>
            </w:r>
          </w:p>
          <w:p w:rsidR="00897864" w:rsidRDefault="002F74FC">
            <w:pPr>
              <w:jc w:val="left"/>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是否落实信息平台维护工作；</w:t>
            </w:r>
          </w:p>
          <w:p w:rsidR="00897864" w:rsidRDefault="002F74FC">
            <w:pPr>
              <w:jc w:val="left"/>
              <w:rPr>
                <w:rFonts w:ascii="Times New Roman" w:hAnsi="Times New Roman" w:cs="Times New Roman"/>
                <w:color w:val="FF0000"/>
                <w:szCs w:val="21"/>
              </w:rPr>
            </w:pPr>
            <w:r>
              <w:rPr>
                <w:rFonts w:ascii="Times New Roman" w:hAnsi="Times New Roman" w:cs="Times New Roman"/>
                <w:szCs w:val="21"/>
              </w:rPr>
              <w:t>③</w:t>
            </w:r>
            <w:r>
              <w:rPr>
                <w:rFonts w:ascii="Times New Roman" w:hAnsi="Times New Roman" w:cs="Times New Roman"/>
                <w:szCs w:val="21"/>
              </w:rPr>
              <w:t>是否达到要求并有台账。</w:t>
            </w:r>
          </w:p>
        </w:tc>
        <w:tc>
          <w:tcPr>
            <w:tcW w:w="610" w:type="dxa"/>
            <w:vAlign w:val="center"/>
          </w:tcPr>
          <w:p w:rsidR="00897864" w:rsidRDefault="002F74FC">
            <w:pPr>
              <w:jc w:val="center"/>
              <w:rPr>
                <w:rFonts w:ascii="Times New Roman" w:hAnsi="Times New Roman" w:cs="Times New Roman"/>
                <w:color w:val="FF0000"/>
              </w:rPr>
            </w:pPr>
            <w:r>
              <w:rPr>
                <w:rFonts w:ascii="Times New Roman" w:hAnsi="Times New Roman" w:cs="Times New Roman"/>
                <w:color w:val="000000" w:themeColor="text1"/>
              </w:rPr>
              <w:t>2</w:t>
            </w:r>
          </w:p>
        </w:tc>
        <w:tc>
          <w:tcPr>
            <w:tcW w:w="2870" w:type="dxa"/>
            <w:vAlign w:val="center"/>
          </w:tcPr>
          <w:p w:rsidR="00897864" w:rsidRDefault="002F74FC">
            <w:pPr>
              <w:rPr>
                <w:rFonts w:ascii="Times New Roman" w:hAnsi="Times New Roman" w:cs="Times New Roman"/>
                <w:color w:val="FF0000"/>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1/3</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2</w:t>
            </w:r>
          </w:p>
        </w:tc>
      </w:tr>
      <w:tr w:rsidR="00897864">
        <w:trPr>
          <w:trHeight w:val="1655"/>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补助项目完成时间</w:t>
            </w:r>
          </w:p>
        </w:tc>
        <w:tc>
          <w:tcPr>
            <w:tcW w:w="780"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达到</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是否明确了补助项目完成时间；</w:t>
            </w:r>
          </w:p>
          <w:p w:rsidR="00897864" w:rsidRDefault="002F74FC">
            <w:pPr>
              <w:jc w:val="left"/>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是否在时间范围内完成补助工作；</w:t>
            </w:r>
          </w:p>
          <w:p w:rsidR="00897864" w:rsidRDefault="002F74FC">
            <w:pPr>
              <w:rPr>
                <w:rFonts w:ascii="Times New Roman" w:hAnsi="Times New Roman" w:cs="Times New Roman"/>
                <w:color w:val="000000" w:themeColor="text1"/>
                <w:szCs w:val="21"/>
              </w:rPr>
            </w:pPr>
            <w:r>
              <w:rPr>
                <w:rFonts w:ascii="Times New Roman" w:hAnsi="Times New Roman" w:cs="Times New Roman"/>
                <w:szCs w:val="21"/>
              </w:rPr>
              <w:t>③</w:t>
            </w:r>
            <w:r>
              <w:rPr>
                <w:rFonts w:ascii="Times New Roman" w:hAnsi="Times New Roman" w:cs="Times New Roman"/>
                <w:szCs w:val="21"/>
              </w:rPr>
              <w:t>是否满足要求并有台账。</w:t>
            </w:r>
          </w:p>
        </w:tc>
        <w:tc>
          <w:tcPr>
            <w:tcW w:w="610" w:type="dxa"/>
            <w:vAlign w:val="center"/>
          </w:tcPr>
          <w:p w:rsidR="00897864" w:rsidRDefault="002F74FC">
            <w:pPr>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2870" w:type="dxa"/>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1/3</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1</w:t>
            </w:r>
          </w:p>
        </w:tc>
      </w:tr>
      <w:tr w:rsidR="00897864">
        <w:trPr>
          <w:trHeight w:val="1670"/>
          <w:jc w:val="center"/>
        </w:trPr>
        <w:tc>
          <w:tcPr>
            <w:tcW w:w="792" w:type="dxa"/>
            <w:vMerge w:val="restart"/>
            <w:tcBorders>
              <w:top w:val="single" w:sz="4" w:space="0" w:color="auto"/>
            </w:tcBorders>
            <w:vAlign w:val="center"/>
          </w:tcPr>
          <w:p w:rsidR="00897864" w:rsidRDefault="00897864">
            <w:pPr>
              <w:jc w:val="center"/>
              <w:rPr>
                <w:rFonts w:ascii="Times New Roman" w:hAnsi="Times New Roman" w:cs="Times New Roman"/>
                <w:szCs w:val="21"/>
              </w:rPr>
            </w:pPr>
          </w:p>
          <w:p w:rsidR="00897864" w:rsidRDefault="00897864">
            <w:pPr>
              <w:jc w:val="center"/>
              <w:rPr>
                <w:rFonts w:ascii="Times New Roman" w:hAnsi="Times New Roman" w:cs="Times New Roman"/>
                <w:szCs w:val="21"/>
              </w:rPr>
            </w:pPr>
          </w:p>
          <w:p w:rsidR="00897864" w:rsidRDefault="002F74FC">
            <w:pPr>
              <w:jc w:val="center"/>
              <w:rPr>
                <w:rFonts w:ascii="Times New Roman" w:hAnsi="Times New Roman" w:cs="Times New Roman"/>
                <w:szCs w:val="21"/>
              </w:rPr>
            </w:pPr>
            <w:r>
              <w:rPr>
                <w:rFonts w:ascii="Times New Roman" w:hAnsi="Times New Roman" w:cs="Times New Roman"/>
                <w:szCs w:val="21"/>
              </w:rPr>
              <w:t>效益指标</w:t>
            </w:r>
          </w:p>
          <w:p w:rsidR="00897864" w:rsidRDefault="002F74FC">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color w:val="000000" w:themeColor="text1"/>
                <w:szCs w:val="21"/>
              </w:rPr>
              <w:t>30</w:t>
            </w:r>
            <w:r>
              <w:rPr>
                <w:rFonts w:ascii="Times New Roman" w:hAnsi="Times New Roman" w:cs="Times New Roman"/>
                <w:szCs w:val="21"/>
              </w:rPr>
              <w:t>分）</w:t>
            </w:r>
          </w:p>
          <w:p w:rsidR="00897864" w:rsidRDefault="00897864">
            <w:pPr>
              <w:jc w:val="center"/>
              <w:rPr>
                <w:rFonts w:ascii="Times New Roman" w:hAnsi="Times New Roman" w:cs="Times New Roman"/>
                <w:szCs w:val="21"/>
              </w:rPr>
            </w:pPr>
          </w:p>
        </w:tc>
        <w:tc>
          <w:tcPr>
            <w:tcW w:w="750" w:type="dxa"/>
            <w:vMerge w:val="restart"/>
            <w:tcBorders>
              <w:top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社会效益</w:t>
            </w:r>
          </w:p>
        </w:tc>
        <w:tc>
          <w:tcPr>
            <w:tcW w:w="1185" w:type="dxa"/>
            <w:tcBorders>
              <w:top w:val="single" w:sz="4" w:space="0" w:color="auto"/>
              <w:bottom w:val="single" w:sz="4" w:space="0" w:color="auto"/>
            </w:tcBorders>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扩大绿色建材社会认可度</w:t>
            </w:r>
          </w:p>
        </w:tc>
        <w:tc>
          <w:tcPr>
            <w:tcW w:w="780" w:type="dxa"/>
            <w:tcBorders>
              <w:top w:val="single" w:sz="4" w:space="0" w:color="auto"/>
              <w:bottom w:val="single" w:sz="4" w:space="0" w:color="auto"/>
            </w:tcBorders>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较高</w:t>
            </w:r>
          </w:p>
        </w:tc>
        <w:tc>
          <w:tcPr>
            <w:tcW w:w="3773" w:type="dxa"/>
            <w:tcBorders>
              <w:top w:val="single" w:sz="4" w:space="0" w:color="auto"/>
              <w:bottom w:val="single" w:sz="4" w:space="0" w:color="auto"/>
            </w:tcBorders>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是否制定绿色建材宣传计划；</w:t>
            </w:r>
          </w:p>
          <w:p w:rsidR="00897864" w:rsidRDefault="002F74FC">
            <w:pPr>
              <w:jc w:val="left"/>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是否按计划开展宣传培训工作；</w:t>
            </w:r>
          </w:p>
          <w:p w:rsidR="00897864" w:rsidRDefault="002F74FC">
            <w:pPr>
              <w:jc w:val="left"/>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宣传培训的对象是否具有一定覆盖面；</w:t>
            </w:r>
          </w:p>
          <w:p w:rsidR="00897864" w:rsidRDefault="002F74FC">
            <w:pPr>
              <w:jc w:val="left"/>
              <w:rPr>
                <w:rFonts w:ascii="Times New Roman" w:hAnsi="Times New Roman" w:cs="Times New Roman"/>
                <w:szCs w:val="21"/>
              </w:rPr>
            </w:pPr>
            <w:r>
              <w:rPr>
                <w:rFonts w:ascii="Times New Roman" w:hAnsi="Times New Roman" w:cs="Times New Roman"/>
                <w:szCs w:val="21"/>
              </w:rPr>
              <w:t>④</w:t>
            </w:r>
            <w:r>
              <w:rPr>
                <w:rFonts w:ascii="Times New Roman" w:hAnsi="Times New Roman" w:cs="Times New Roman"/>
                <w:szCs w:val="21"/>
              </w:rPr>
              <w:t>活动</w:t>
            </w:r>
            <w:proofErr w:type="gramStart"/>
            <w:r>
              <w:rPr>
                <w:rFonts w:ascii="Times New Roman" w:hAnsi="Times New Roman" w:cs="Times New Roman"/>
                <w:szCs w:val="21"/>
              </w:rPr>
              <w:t>场次不</w:t>
            </w:r>
            <w:proofErr w:type="gramEnd"/>
            <w:r>
              <w:rPr>
                <w:rFonts w:ascii="Times New Roman" w:hAnsi="Times New Roman" w:cs="Times New Roman"/>
                <w:szCs w:val="21"/>
              </w:rPr>
              <w:t>低于</w:t>
            </w:r>
            <w:r>
              <w:rPr>
                <w:rFonts w:ascii="Times New Roman" w:hAnsi="Times New Roman" w:cs="Times New Roman"/>
                <w:szCs w:val="21"/>
              </w:rPr>
              <w:t>3</w:t>
            </w:r>
            <w:r>
              <w:rPr>
                <w:rFonts w:ascii="Times New Roman" w:hAnsi="Times New Roman" w:cs="Times New Roman"/>
                <w:szCs w:val="21"/>
              </w:rPr>
              <w:t>场。</w:t>
            </w:r>
          </w:p>
        </w:tc>
        <w:tc>
          <w:tcPr>
            <w:tcW w:w="610"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6</w:t>
            </w:r>
          </w:p>
        </w:tc>
        <w:tc>
          <w:tcPr>
            <w:tcW w:w="2870" w:type="dxa"/>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25%</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FF0000"/>
                <w:szCs w:val="21"/>
              </w:rPr>
            </w:pPr>
            <w:r>
              <w:rPr>
                <w:rFonts w:ascii="Times New Roman" w:hAnsi="Times New Roman" w:cs="Times New Roman"/>
                <w:color w:val="000000" w:themeColor="text1"/>
                <w:szCs w:val="21"/>
              </w:rPr>
              <w:t>6</w:t>
            </w:r>
          </w:p>
        </w:tc>
      </w:tr>
      <w:tr w:rsidR="00897864">
        <w:trPr>
          <w:trHeight w:val="2686"/>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Merge/>
            <w:vAlign w:val="center"/>
          </w:tcPr>
          <w:p w:rsidR="00897864" w:rsidRDefault="00897864">
            <w:pPr>
              <w:jc w:val="center"/>
              <w:rPr>
                <w:rFonts w:ascii="Times New Roman" w:hAnsi="Times New Roman" w:cs="Times New Roman"/>
                <w:szCs w:val="21"/>
              </w:rPr>
            </w:pPr>
          </w:p>
        </w:tc>
        <w:tc>
          <w:tcPr>
            <w:tcW w:w="1185" w:type="dxa"/>
            <w:tcBorders>
              <w:top w:val="single" w:sz="4" w:space="0" w:color="auto"/>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提高绿色建材在建筑中</w:t>
            </w:r>
            <w:proofErr w:type="gramStart"/>
            <w:r>
              <w:rPr>
                <w:rFonts w:ascii="Times New Roman" w:hAnsi="Times New Roman" w:cs="Times New Roman"/>
                <w:szCs w:val="21"/>
              </w:rPr>
              <w:t>应用占</w:t>
            </w:r>
            <w:proofErr w:type="gramEnd"/>
            <w:r>
              <w:rPr>
                <w:rFonts w:ascii="Times New Roman" w:hAnsi="Times New Roman" w:cs="Times New Roman"/>
                <w:szCs w:val="21"/>
              </w:rPr>
              <w:t>比</w:t>
            </w:r>
          </w:p>
        </w:tc>
        <w:tc>
          <w:tcPr>
            <w:tcW w:w="780" w:type="dxa"/>
            <w:tcBorders>
              <w:top w:val="single" w:sz="4" w:space="0" w:color="auto"/>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较高</w:t>
            </w:r>
          </w:p>
        </w:tc>
        <w:tc>
          <w:tcPr>
            <w:tcW w:w="3773" w:type="dxa"/>
            <w:tcBorders>
              <w:top w:val="single" w:sz="4" w:space="0" w:color="auto"/>
              <w:bottom w:val="single" w:sz="4" w:space="0" w:color="auto"/>
            </w:tcBorders>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是否对项目开展绿色建材需求标准宣贯指引；</w:t>
            </w:r>
          </w:p>
          <w:p w:rsidR="00897864" w:rsidRDefault="002F74FC">
            <w:pPr>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是否对项目公开绿色建材采信信息，引导项目采购绿色建材产品；</w:t>
            </w:r>
          </w:p>
          <w:p w:rsidR="00897864" w:rsidRDefault="002F74FC">
            <w:pPr>
              <w:rPr>
                <w:rFonts w:ascii="Times New Roman" w:hAnsi="Times New Roman" w:cs="Times New Roman"/>
                <w:szCs w:val="21"/>
              </w:rPr>
            </w:pPr>
            <w:r>
              <w:rPr>
                <w:rFonts w:ascii="Times New Roman" w:hAnsi="Times New Roman" w:cs="Times New Roman"/>
                <w:szCs w:val="21"/>
              </w:rPr>
              <w:t>③</w:t>
            </w:r>
            <w:r>
              <w:rPr>
                <w:rFonts w:ascii="Times New Roman" w:hAnsi="Times New Roman" w:cs="Times New Roman"/>
                <w:szCs w:val="21"/>
              </w:rPr>
              <w:t>对项目使用的绿色建材依据相关标准开展核算，核算过程资料完整；</w:t>
            </w:r>
          </w:p>
          <w:p w:rsidR="00897864" w:rsidRDefault="002F74FC">
            <w:pPr>
              <w:jc w:val="left"/>
              <w:rPr>
                <w:rFonts w:ascii="Times New Roman" w:hAnsi="Times New Roman" w:cs="Times New Roman"/>
                <w:szCs w:val="21"/>
              </w:rPr>
            </w:pPr>
            <w:r>
              <w:rPr>
                <w:rFonts w:ascii="Times New Roman" w:hAnsi="Times New Roman" w:cs="Times New Roman"/>
                <w:szCs w:val="21"/>
              </w:rPr>
              <w:t>④</w:t>
            </w:r>
            <w:r>
              <w:rPr>
                <w:rFonts w:ascii="Times New Roman" w:hAnsi="Times New Roman" w:cs="Times New Roman"/>
                <w:szCs w:val="21"/>
              </w:rPr>
              <w:t>对绿色建材应用比例超过</w:t>
            </w:r>
            <w:r>
              <w:rPr>
                <w:rFonts w:ascii="Times New Roman" w:hAnsi="Times New Roman" w:cs="Times New Roman"/>
                <w:szCs w:val="21"/>
              </w:rPr>
              <w:t>50%</w:t>
            </w:r>
            <w:r>
              <w:rPr>
                <w:rFonts w:ascii="Times New Roman" w:hAnsi="Times New Roman" w:cs="Times New Roman"/>
                <w:szCs w:val="21"/>
              </w:rPr>
              <w:t>的项目开展奖补。</w:t>
            </w:r>
          </w:p>
        </w:tc>
        <w:tc>
          <w:tcPr>
            <w:tcW w:w="610" w:type="dxa"/>
            <w:tcBorders>
              <w:top w:val="single" w:sz="4" w:space="0" w:color="auto"/>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8</w:t>
            </w:r>
          </w:p>
        </w:tc>
        <w:tc>
          <w:tcPr>
            <w:tcW w:w="2870" w:type="dxa"/>
            <w:tcBorders>
              <w:top w:val="single" w:sz="4" w:space="0" w:color="auto"/>
            </w:tcBorders>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25%</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tcBorders>
              <w:top w:val="single" w:sz="4" w:space="0" w:color="auto"/>
            </w:tcBorders>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8</w:t>
            </w:r>
          </w:p>
        </w:tc>
      </w:tr>
      <w:tr w:rsidR="00897864">
        <w:trPr>
          <w:trHeight w:val="2339"/>
          <w:jc w:val="center"/>
        </w:trPr>
        <w:tc>
          <w:tcPr>
            <w:tcW w:w="792" w:type="dxa"/>
            <w:vMerge/>
            <w:vAlign w:val="center"/>
          </w:tcPr>
          <w:p w:rsidR="00897864" w:rsidRDefault="00897864">
            <w:pPr>
              <w:jc w:val="center"/>
              <w:rPr>
                <w:rFonts w:ascii="Times New Roman" w:hAnsi="Times New Roman" w:cs="Times New Roman"/>
                <w:szCs w:val="21"/>
              </w:rPr>
            </w:pPr>
          </w:p>
        </w:tc>
        <w:tc>
          <w:tcPr>
            <w:tcW w:w="75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生态效益</w:t>
            </w:r>
          </w:p>
        </w:tc>
        <w:tc>
          <w:tcPr>
            <w:tcW w:w="1185"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降低碳排放</w:t>
            </w:r>
          </w:p>
        </w:tc>
        <w:tc>
          <w:tcPr>
            <w:tcW w:w="780"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较高</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是否明确项目在实施全过程开展碳排放管理；</w:t>
            </w:r>
          </w:p>
          <w:p w:rsidR="00897864" w:rsidRDefault="002F74FC">
            <w:pPr>
              <w:jc w:val="left"/>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是否在项目竣工验收阶段开展了碳排放测算；</w:t>
            </w:r>
          </w:p>
          <w:p w:rsidR="00897864" w:rsidRDefault="002F74FC">
            <w:pPr>
              <w:jc w:val="left"/>
              <w:rPr>
                <w:rFonts w:ascii="Times New Roman" w:hAnsi="Times New Roman" w:cs="Times New Roman"/>
                <w:color w:val="FF0000"/>
                <w:szCs w:val="21"/>
              </w:rPr>
            </w:pPr>
            <w:r>
              <w:rPr>
                <w:rFonts w:ascii="Times New Roman" w:hAnsi="Times New Roman" w:cs="Times New Roman"/>
                <w:szCs w:val="21"/>
              </w:rPr>
              <w:t>③</w:t>
            </w:r>
            <w:r>
              <w:rPr>
                <w:rFonts w:ascii="Times New Roman" w:hAnsi="Times New Roman" w:cs="Times New Roman"/>
                <w:szCs w:val="21"/>
              </w:rPr>
              <w:t>项目是否建立了碳排放</w:t>
            </w:r>
            <w:proofErr w:type="gramStart"/>
            <w:r>
              <w:rPr>
                <w:rFonts w:ascii="Times New Roman" w:hAnsi="Times New Roman" w:cs="Times New Roman"/>
                <w:szCs w:val="21"/>
              </w:rPr>
              <w:t>相关台</w:t>
            </w:r>
            <w:proofErr w:type="gramEnd"/>
            <w:r>
              <w:rPr>
                <w:rFonts w:ascii="Times New Roman" w:hAnsi="Times New Roman" w:cs="Times New Roman"/>
                <w:szCs w:val="21"/>
              </w:rPr>
              <w:t>账；</w:t>
            </w:r>
          </w:p>
          <w:p w:rsidR="00897864" w:rsidRDefault="002F74FC">
            <w:pPr>
              <w:jc w:val="left"/>
              <w:rPr>
                <w:rFonts w:ascii="Times New Roman" w:hAnsi="Times New Roman" w:cs="Times New Roman"/>
                <w:color w:val="FF0000"/>
                <w:szCs w:val="21"/>
              </w:rPr>
            </w:pPr>
            <w:r>
              <w:rPr>
                <w:rFonts w:ascii="Times New Roman" w:hAnsi="Times New Roman" w:cs="Times New Roman"/>
                <w:szCs w:val="21"/>
              </w:rPr>
              <w:t>④</w:t>
            </w:r>
            <w:r>
              <w:rPr>
                <w:rFonts w:ascii="Times New Roman" w:hAnsi="Times New Roman" w:cs="Times New Roman"/>
                <w:szCs w:val="21"/>
              </w:rPr>
              <w:t>是否通过测算实现了降低碳排放的效果。</w:t>
            </w:r>
          </w:p>
        </w:tc>
        <w:tc>
          <w:tcPr>
            <w:tcW w:w="610" w:type="dxa"/>
            <w:vAlign w:val="center"/>
          </w:tcPr>
          <w:p w:rsidR="00897864" w:rsidRDefault="002F74FC">
            <w:pPr>
              <w:jc w:val="center"/>
              <w:rPr>
                <w:rFonts w:ascii="Times New Roman" w:hAnsi="Times New Roman" w:cs="Times New Roman"/>
                <w:color w:val="FF0000"/>
                <w:szCs w:val="21"/>
              </w:rPr>
            </w:pPr>
            <w:r>
              <w:rPr>
                <w:rFonts w:ascii="Times New Roman" w:hAnsi="Times New Roman" w:cs="Times New Roman"/>
                <w:color w:val="000000" w:themeColor="text1"/>
                <w:szCs w:val="21"/>
              </w:rPr>
              <w:t>8</w:t>
            </w:r>
          </w:p>
        </w:tc>
        <w:tc>
          <w:tcPr>
            <w:tcW w:w="2870" w:type="dxa"/>
            <w:vAlign w:val="center"/>
          </w:tcPr>
          <w:p w:rsidR="00897864" w:rsidRDefault="002F74FC">
            <w:pPr>
              <w:rPr>
                <w:rFonts w:ascii="Times New Roman" w:hAnsi="Times New Roman" w:cs="Times New Roman"/>
                <w:color w:val="FF0000"/>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25%</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4</w:t>
            </w:r>
          </w:p>
        </w:tc>
      </w:tr>
      <w:tr w:rsidR="00897864">
        <w:trPr>
          <w:trHeight w:val="2339"/>
          <w:jc w:val="center"/>
        </w:trPr>
        <w:tc>
          <w:tcPr>
            <w:tcW w:w="792" w:type="dxa"/>
            <w:vMerge/>
            <w:tcBorders>
              <w:bottom w:val="single" w:sz="4" w:space="0" w:color="auto"/>
            </w:tcBorders>
            <w:vAlign w:val="center"/>
          </w:tcPr>
          <w:p w:rsidR="00897864" w:rsidRDefault="00897864">
            <w:pPr>
              <w:jc w:val="center"/>
              <w:rPr>
                <w:rFonts w:ascii="Times New Roman" w:hAnsi="Times New Roman" w:cs="Times New Roman"/>
                <w:szCs w:val="21"/>
              </w:rPr>
            </w:pPr>
          </w:p>
        </w:tc>
        <w:tc>
          <w:tcPr>
            <w:tcW w:w="750" w:type="dxa"/>
            <w:tcBorders>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可持续影响</w:t>
            </w:r>
          </w:p>
        </w:tc>
        <w:tc>
          <w:tcPr>
            <w:tcW w:w="1185" w:type="dxa"/>
            <w:vAlign w:val="center"/>
          </w:tcPr>
          <w:p w:rsidR="00897864" w:rsidRDefault="002F74FC">
            <w:pPr>
              <w:jc w:val="center"/>
              <w:rPr>
                <w:rFonts w:ascii="Times New Roman" w:hAnsi="Times New Roman" w:cs="Times New Roman"/>
                <w:color w:val="FF0000"/>
                <w:szCs w:val="21"/>
              </w:rPr>
            </w:pPr>
            <w:r>
              <w:rPr>
                <w:rFonts w:ascii="Times New Roman" w:hAnsi="Times New Roman" w:cs="Times New Roman"/>
                <w:color w:val="000000" w:themeColor="text1"/>
                <w:szCs w:val="21"/>
              </w:rPr>
              <w:t>促进绿色建材发展，助</w:t>
            </w:r>
            <w:proofErr w:type="gramStart"/>
            <w:r>
              <w:rPr>
                <w:rFonts w:ascii="Times New Roman" w:hAnsi="Times New Roman" w:cs="Times New Roman"/>
                <w:color w:val="000000" w:themeColor="text1"/>
                <w:szCs w:val="21"/>
              </w:rPr>
              <w:t>推建筑</w:t>
            </w:r>
            <w:proofErr w:type="gramEnd"/>
            <w:r>
              <w:rPr>
                <w:rFonts w:ascii="Times New Roman" w:hAnsi="Times New Roman" w:cs="Times New Roman"/>
                <w:color w:val="000000" w:themeColor="text1"/>
                <w:szCs w:val="21"/>
              </w:rPr>
              <w:t>品质提升</w:t>
            </w:r>
          </w:p>
        </w:tc>
        <w:tc>
          <w:tcPr>
            <w:tcW w:w="780" w:type="dxa"/>
            <w:vAlign w:val="center"/>
          </w:tcPr>
          <w:p w:rsidR="00897864" w:rsidRDefault="002F74FC">
            <w:pPr>
              <w:jc w:val="center"/>
              <w:rPr>
                <w:rFonts w:ascii="Times New Roman" w:hAnsi="Times New Roman" w:cs="Times New Roman"/>
                <w:color w:val="FF0000"/>
                <w:szCs w:val="21"/>
              </w:rPr>
            </w:pPr>
            <w:r>
              <w:rPr>
                <w:rFonts w:ascii="Times New Roman" w:hAnsi="Times New Roman" w:cs="Times New Roman"/>
                <w:color w:val="000000" w:themeColor="text1"/>
                <w:szCs w:val="21"/>
              </w:rPr>
              <w:t>较高</w:t>
            </w:r>
          </w:p>
        </w:tc>
        <w:tc>
          <w:tcPr>
            <w:tcW w:w="3773" w:type="dxa"/>
            <w:vAlign w:val="center"/>
          </w:tcPr>
          <w:p w:rsidR="00897864" w:rsidRDefault="002F74FC">
            <w:pPr>
              <w:rPr>
                <w:rFonts w:ascii="Times New Roman" w:hAnsi="Times New Roman" w:cs="Times New Roman"/>
                <w:szCs w:val="21"/>
              </w:rPr>
            </w:pPr>
            <w:r>
              <w:rPr>
                <w:rFonts w:ascii="Times New Roman" w:hAnsi="Times New Roman" w:cs="Times New Roman"/>
                <w:szCs w:val="21"/>
              </w:rPr>
              <w:t>①</w:t>
            </w:r>
            <w:r>
              <w:rPr>
                <w:rFonts w:ascii="Times New Roman" w:hAnsi="Times New Roman" w:cs="Times New Roman"/>
                <w:szCs w:val="21"/>
              </w:rPr>
              <w:t>是否开展了绿色建材发展及对绿色建筑促进作用的长效机制相关研究；</w:t>
            </w:r>
          </w:p>
          <w:p w:rsidR="00897864" w:rsidRDefault="002F74FC">
            <w:pPr>
              <w:jc w:val="left"/>
              <w:rPr>
                <w:rFonts w:ascii="Times New Roman" w:hAnsi="Times New Roman" w:cs="Times New Roman"/>
                <w:szCs w:val="21"/>
              </w:rPr>
            </w:pPr>
            <w:r>
              <w:rPr>
                <w:rFonts w:ascii="Times New Roman" w:hAnsi="Times New Roman" w:cs="Times New Roman"/>
                <w:szCs w:val="21"/>
              </w:rPr>
              <w:t>②</w:t>
            </w:r>
            <w:r>
              <w:rPr>
                <w:rFonts w:ascii="Times New Roman" w:hAnsi="Times New Roman" w:cs="Times New Roman"/>
                <w:szCs w:val="21"/>
              </w:rPr>
              <w:t>是否建立了绿色建材推广应用机制；</w:t>
            </w:r>
          </w:p>
          <w:p w:rsidR="00897864" w:rsidRDefault="002F74FC">
            <w:pPr>
              <w:jc w:val="left"/>
              <w:rPr>
                <w:rFonts w:ascii="Times New Roman" w:hAnsi="Times New Roman" w:cs="Times New Roman"/>
                <w:color w:val="FF0000"/>
                <w:szCs w:val="21"/>
              </w:rPr>
            </w:pPr>
            <w:r>
              <w:rPr>
                <w:rFonts w:ascii="Times New Roman" w:hAnsi="Times New Roman" w:cs="Times New Roman"/>
                <w:szCs w:val="21"/>
              </w:rPr>
              <w:t>③</w:t>
            </w:r>
            <w:r>
              <w:rPr>
                <w:rFonts w:ascii="Times New Roman" w:hAnsi="Times New Roman" w:cs="Times New Roman"/>
                <w:szCs w:val="21"/>
              </w:rPr>
              <w:t>是否明确了绿色建筑中绿色建材应用比例；</w:t>
            </w:r>
          </w:p>
          <w:p w:rsidR="00897864" w:rsidRDefault="002F74FC">
            <w:pPr>
              <w:jc w:val="left"/>
              <w:rPr>
                <w:rFonts w:ascii="Times New Roman" w:hAnsi="Times New Roman" w:cs="Times New Roman"/>
                <w:color w:val="FF0000"/>
                <w:szCs w:val="21"/>
              </w:rPr>
            </w:pPr>
            <w:r>
              <w:rPr>
                <w:rFonts w:ascii="Times New Roman" w:hAnsi="Times New Roman" w:cs="Times New Roman"/>
                <w:szCs w:val="21"/>
              </w:rPr>
              <w:t>④</w:t>
            </w:r>
            <w:r>
              <w:rPr>
                <w:rFonts w:ascii="Times New Roman" w:hAnsi="Times New Roman" w:cs="Times New Roman"/>
                <w:szCs w:val="21"/>
              </w:rPr>
              <w:t>是否明确政策实施范围内项目全部采用绿色建材产品。</w:t>
            </w:r>
          </w:p>
        </w:tc>
        <w:tc>
          <w:tcPr>
            <w:tcW w:w="610" w:type="dxa"/>
            <w:vAlign w:val="center"/>
          </w:tcPr>
          <w:p w:rsidR="00897864" w:rsidRDefault="002F74FC">
            <w:pPr>
              <w:jc w:val="center"/>
              <w:rPr>
                <w:rFonts w:ascii="Times New Roman" w:hAnsi="Times New Roman" w:cs="Times New Roman"/>
                <w:color w:val="FF0000"/>
                <w:szCs w:val="21"/>
              </w:rPr>
            </w:pPr>
            <w:r>
              <w:rPr>
                <w:rFonts w:ascii="Times New Roman" w:hAnsi="Times New Roman" w:cs="Times New Roman"/>
                <w:color w:val="000000" w:themeColor="text1"/>
                <w:szCs w:val="21"/>
              </w:rPr>
              <w:t>8</w:t>
            </w:r>
          </w:p>
        </w:tc>
        <w:tc>
          <w:tcPr>
            <w:tcW w:w="2870" w:type="dxa"/>
            <w:vAlign w:val="center"/>
          </w:tcPr>
          <w:p w:rsidR="00897864" w:rsidRDefault="002F74FC">
            <w:pPr>
              <w:jc w:val="left"/>
              <w:rPr>
                <w:rFonts w:ascii="Times New Roman" w:hAnsi="Times New Roman" w:cs="Times New Roman"/>
                <w:color w:val="FF0000"/>
                <w:szCs w:val="21"/>
              </w:rPr>
            </w:pPr>
            <w:r>
              <w:rPr>
                <w:rFonts w:ascii="Times New Roman" w:hAnsi="Times New Roman" w:cs="Times New Roman"/>
                <w:color w:val="000000" w:themeColor="text1"/>
                <w:szCs w:val="21"/>
              </w:rPr>
              <w:t>指标各占</w:t>
            </w:r>
            <w:r>
              <w:rPr>
                <w:rFonts w:ascii="Times New Roman" w:hAnsi="Times New Roman" w:cs="Times New Roman"/>
                <w:color w:val="000000" w:themeColor="text1"/>
                <w:szCs w:val="21"/>
              </w:rPr>
              <w:t>25%</w:t>
            </w:r>
            <w:r>
              <w:rPr>
                <w:rFonts w:ascii="Times New Roman" w:hAnsi="Times New Roman" w:cs="Times New Roman"/>
                <w:color w:val="000000" w:themeColor="text1"/>
                <w:szCs w:val="21"/>
              </w:rPr>
              <w:t>权重，每个要点执行情况分达成、部分达成、未达成三档，按</w:t>
            </w:r>
            <w:r>
              <w:rPr>
                <w:rFonts w:ascii="Times New Roman" w:hAnsi="Times New Roman" w:cs="Times New Roman"/>
                <w:color w:val="000000" w:themeColor="text1"/>
                <w:szCs w:val="21"/>
              </w:rPr>
              <w:t>100%-80%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80%-60%</w:t>
            </w:r>
            <w:r>
              <w:rPr>
                <w:rFonts w:ascii="Times New Roman" w:hAnsi="Times New Roman" w:cs="Times New Roman"/>
                <w:color w:val="000000" w:themeColor="text1"/>
                <w:szCs w:val="21"/>
              </w:rPr>
              <w:t>（含）、</w:t>
            </w:r>
            <w:r>
              <w:rPr>
                <w:rFonts w:ascii="Times New Roman" w:hAnsi="Times New Roman" w:cs="Times New Roman"/>
                <w:color w:val="000000" w:themeColor="text1"/>
                <w:szCs w:val="21"/>
              </w:rPr>
              <w:t>60%-0%</w:t>
            </w:r>
            <w:r>
              <w:rPr>
                <w:rFonts w:ascii="Times New Roman" w:hAnsi="Times New Roman" w:cs="Times New Roman"/>
                <w:color w:val="000000" w:themeColor="text1"/>
                <w:szCs w:val="21"/>
              </w:rPr>
              <w:t>评分。</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szCs w:val="21"/>
              </w:rPr>
              <w:t>6</w:t>
            </w:r>
          </w:p>
        </w:tc>
      </w:tr>
      <w:tr w:rsidR="00897864">
        <w:trPr>
          <w:trHeight w:val="1640"/>
          <w:jc w:val="center"/>
        </w:trPr>
        <w:tc>
          <w:tcPr>
            <w:tcW w:w="792" w:type="dxa"/>
            <w:tcBorders>
              <w:top w:val="single" w:sz="4" w:space="0" w:color="auto"/>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满意度</w:t>
            </w:r>
          </w:p>
          <w:p w:rsidR="00897864" w:rsidRDefault="002F74FC">
            <w:pPr>
              <w:jc w:val="center"/>
              <w:rPr>
                <w:rFonts w:ascii="Times New Roman" w:hAnsi="Times New Roman" w:cs="Times New Roman"/>
                <w:szCs w:val="21"/>
              </w:rPr>
            </w:pPr>
            <w:r>
              <w:rPr>
                <w:rFonts w:ascii="Times New Roman" w:hAnsi="Times New Roman" w:cs="Times New Roman"/>
                <w:szCs w:val="21"/>
              </w:rPr>
              <w:t>指标</w:t>
            </w:r>
          </w:p>
          <w:p w:rsidR="00897864" w:rsidRDefault="002F74FC">
            <w:pPr>
              <w:jc w:val="center"/>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10</w:t>
            </w:r>
            <w:r>
              <w:rPr>
                <w:rFonts w:ascii="Times New Roman" w:hAnsi="Times New Roman" w:cs="Times New Roman"/>
                <w:szCs w:val="21"/>
              </w:rPr>
              <w:t>分）</w:t>
            </w:r>
          </w:p>
        </w:tc>
        <w:tc>
          <w:tcPr>
            <w:tcW w:w="750" w:type="dxa"/>
            <w:tcBorders>
              <w:top w:val="single" w:sz="4" w:space="0" w:color="auto"/>
              <w:bottom w:val="single" w:sz="4" w:space="0" w:color="auto"/>
            </w:tcBorders>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服务对象满意度</w:t>
            </w:r>
          </w:p>
        </w:tc>
        <w:tc>
          <w:tcPr>
            <w:tcW w:w="1185"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受众满意度</w:t>
            </w:r>
          </w:p>
        </w:tc>
        <w:tc>
          <w:tcPr>
            <w:tcW w:w="780" w:type="dxa"/>
            <w:vAlign w:val="center"/>
          </w:tcPr>
          <w:p w:rsidR="00897864" w:rsidRDefault="002F74FC">
            <w:pPr>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≧95</w:t>
            </w:r>
            <w:r>
              <w:rPr>
                <w:rFonts w:ascii="Times New Roman" w:eastAsia="微软雅黑" w:hAnsi="Times New Roman" w:cs="Times New Roman"/>
                <w:color w:val="000000" w:themeColor="text1"/>
                <w:szCs w:val="21"/>
              </w:rPr>
              <w:t>%</w:t>
            </w:r>
          </w:p>
        </w:tc>
        <w:tc>
          <w:tcPr>
            <w:tcW w:w="3773" w:type="dxa"/>
            <w:vAlign w:val="center"/>
          </w:tcPr>
          <w:p w:rsidR="00897864" w:rsidRDefault="002F74FC">
            <w:pPr>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有无群众投诉</w:t>
            </w:r>
          </w:p>
        </w:tc>
        <w:tc>
          <w:tcPr>
            <w:tcW w:w="610"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10</w:t>
            </w:r>
          </w:p>
        </w:tc>
        <w:tc>
          <w:tcPr>
            <w:tcW w:w="2870" w:type="dxa"/>
            <w:vAlign w:val="center"/>
          </w:tcPr>
          <w:p w:rsidR="00897864" w:rsidRDefault="002F74FC">
            <w:pPr>
              <w:rPr>
                <w:rFonts w:ascii="Times New Roman" w:hAnsi="Times New Roman" w:cs="Times New Roman"/>
                <w:color w:val="000000" w:themeColor="text1"/>
                <w:szCs w:val="21"/>
              </w:rPr>
            </w:pPr>
            <w:r>
              <w:rPr>
                <w:rFonts w:ascii="Times New Roman" w:hAnsi="Times New Roman" w:cs="Times New Roman"/>
                <w:color w:val="000000" w:themeColor="text1"/>
                <w:szCs w:val="21"/>
              </w:rPr>
              <w:t>每接收一条群众投诉</w:t>
            </w:r>
            <w:r>
              <w:rPr>
                <w:rFonts w:ascii="Times New Roman" w:eastAsia="微软雅黑" w:hAnsi="Times New Roman" w:cs="Times New Roman"/>
                <w:color w:val="000000" w:themeColor="text1"/>
                <w:szCs w:val="21"/>
              </w:rPr>
              <w:t>-</w:t>
            </w:r>
            <w:r>
              <w:rPr>
                <w:rFonts w:ascii="Times New Roman" w:hAnsi="Times New Roman" w:cs="Times New Roman"/>
                <w:color w:val="000000" w:themeColor="text1"/>
                <w:szCs w:val="21"/>
              </w:rPr>
              <w:t>2</w:t>
            </w:r>
            <w:r>
              <w:rPr>
                <w:rFonts w:ascii="Times New Roman" w:hAnsi="Times New Roman" w:cs="Times New Roman"/>
                <w:color w:val="000000" w:themeColor="text1"/>
                <w:szCs w:val="21"/>
              </w:rPr>
              <w:t>分，扣完为止。</w:t>
            </w: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10</w:t>
            </w:r>
          </w:p>
        </w:tc>
      </w:tr>
      <w:tr w:rsidR="00897864">
        <w:trPr>
          <w:trHeight w:val="624"/>
          <w:jc w:val="center"/>
        </w:trPr>
        <w:tc>
          <w:tcPr>
            <w:tcW w:w="792" w:type="dxa"/>
            <w:tcBorders>
              <w:top w:val="single" w:sz="4" w:space="0" w:color="auto"/>
            </w:tcBorders>
            <w:vAlign w:val="center"/>
          </w:tcPr>
          <w:p w:rsidR="00897864" w:rsidRDefault="00897864">
            <w:pPr>
              <w:jc w:val="center"/>
              <w:rPr>
                <w:rFonts w:ascii="Times New Roman" w:hAnsi="Times New Roman" w:cs="Times New Roman"/>
                <w:szCs w:val="21"/>
              </w:rPr>
            </w:pPr>
          </w:p>
        </w:tc>
        <w:tc>
          <w:tcPr>
            <w:tcW w:w="750" w:type="dxa"/>
            <w:tcBorders>
              <w:top w:val="single" w:sz="4" w:space="0" w:color="auto"/>
            </w:tcBorders>
            <w:vAlign w:val="center"/>
          </w:tcPr>
          <w:p w:rsidR="00897864" w:rsidRDefault="00897864">
            <w:pPr>
              <w:jc w:val="center"/>
              <w:rPr>
                <w:rFonts w:ascii="Times New Roman" w:hAnsi="Times New Roman" w:cs="Times New Roman"/>
                <w:szCs w:val="21"/>
              </w:rPr>
            </w:pPr>
          </w:p>
        </w:tc>
        <w:tc>
          <w:tcPr>
            <w:tcW w:w="1185" w:type="dxa"/>
            <w:vAlign w:val="center"/>
          </w:tcPr>
          <w:p w:rsidR="00897864" w:rsidRDefault="00897864">
            <w:pPr>
              <w:jc w:val="center"/>
              <w:rPr>
                <w:rFonts w:ascii="Times New Roman" w:hAnsi="Times New Roman" w:cs="Times New Roman"/>
                <w:szCs w:val="21"/>
              </w:rPr>
            </w:pPr>
          </w:p>
        </w:tc>
        <w:tc>
          <w:tcPr>
            <w:tcW w:w="780" w:type="dxa"/>
            <w:vAlign w:val="center"/>
          </w:tcPr>
          <w:p w:rsidR="00897864" w:rsidRDefault="00897864">
            <w:pPr>
              <w:jc w:val="center"/>
              <w:rPr>
                <w:rFonts w:ascii="Times New Roman" w:eastAsia="宋体" w:hAnsi="Times New Roman" w:cs="Times New Roman"/>
                <w:szCs w:val="21"/>
              </w:rPr>
            </w:pPr>
          </w:p>
        </w:tc>
        <w:tc>
          <w:tcPr>
            <w:tcW w:w="3773" w:type="dxa"/>
            <w:vAlign w:val="center"/>
          </w:tcPr>
          <w:p w:rsidR="00897864" w:rsidRDefault="00897864">
            <w:pPr>
              <w:jc w:val="left"/>
              <w:rPr>
                <w:rFonts w:ascii="Times New Roman" w:hAnsi="Times New Roman" w:cs="Times New Roman"/>
                <w:szCs w:val="21"/>
              </w:rPr>
            </w:pPr>
          </w:p>
        </w:tc>
        <w:tc>
          <w:tcPr>
            <w:tcW w:w="610" w:type="dxa"/>
            <w:vAlign w:val="center"/>
          </w:tcPr>
          <w:p w:rsidR="00897864" w:rsidRDefault="002F74FC">
            <w:pPr>
              <w:jc w:val="center"/>
              <w:rPr>
                <w:rFonts w:ascii="Times New Roman" w:hAnsi="Times New Roman" w:cs="Times New Roman"/>
                <w:szCs w:val="21"/>
              </w:rPr>
            </w:pPr>
            <w:r>
              <w:rPr>
                <w:rFonts w:ascii="Times New Roman" w:hAnsi="Times New Roman" w:cs="Times New Roman"/>
                <w:szCs w:val="21"/>
              </w:rPr>
              <w:t>100</w:t>
            </w:r>
          </w:p>
        </w:tc>
        <w:tc>
          <w:tcPr>
            <w:tcW w:w="2870" w:type="dxa"/>
            <w:vAlign w:val="center"/>
          </w:tcPr>
          <w:p w:rsidR="00897864" w:rsidRDefault="00897864">
            <w:pPr>
              <w:rPr>
                <w:rFonts w:ascii="Times New Roman" w:hAnsi="Times New Roman" w:cs="Times New Roman"/>
                <w:color w:val="000000" w:themeColor="text1"/>
                <w:szCs w:val="21"/>
              </w:rPr>
            </w:pPr>
          </w:p>
        </w:tc>
        <w:tc>
          <w:tcPr>
            <w:tcW w:w="648" w:type="dxa"/>
            <w:vAlign w:val="center"/>
          </w:tcPr>
          <w:p w:rsidR="00897864" w:rsidRDefault="002F74FC">
            <w:pPr>
              <w:jc w:val="center"/>
              <w:rPr>
                <w:rFonts w:ascii="Times New Roman" w:hAnsi="Times New Roman" w:cs="Times New Roman"/>
                <w:color w:val="000000" w:themeColor="text1"/>
                <w:szCs w:val="21"/>
              </w:rPr>
            </w:pPr>
            <w:r>
              <w:rPr>
                <w:rFonts w:ascii="Times New Roman" w:hAnsi="Times New Roman" w:cs="Times New Roman"/>
                <w:szCs w:val="21"/>
              </w:rPr>
              <w:t>91.5</w:t>
            </w:r>
          </w:p>
        </w:tc>
      </w:tr>
    </w:tbl>
    <w:p w:rsidR="00897864" w:rsidRDefault="00897864">
      <w:pPr>
        <w:widowControl/>
        <w:jc w:val="left"/>
        <w:rPr>
          <w:rFonts w:ascii="Times New Roman" w:eastAsia="仿宋" w:hAnsi="Times New Roman" w:cs="Times New Roman"/>
          <w:color w:val="000000"/>
          <w:kern w:val="0"/>
          <w:sz w:val="32"/>
          <w:szCs w:val="32"/>
        </w:rPr>
      </w:pPr>
    </w:p>
    <w:sectPr w:rsidR="00897864" w:rsidSect="00897864">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6B3" w:rsidRDefault="004316B3" w:rsidP="00897864">
      <w:r>
        <w:separator/>
      </w:r>
    </w:p>
  </w:endnote>
  <w:endnote w:type="continuationSeparator" w:id="0">
    <w:p w:rsidR="004316B3" w:rsidRDefault="004316B3" w:rsidP="00897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64" w:rsidRDefault="0089786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864" w:rsidRDefault="004316B3">
    <w:pPr>
      <w:pStyle w:val="a6"/>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filled="f" stroked="f" strokeweight=".5pt">
          <v:textbox style="mso-fit-shape-to-text:t" inset="0,0,0,0">
            <w:txbxContent>
              <w:p w:rsidR="00897864" w:rsidRDefault="002F74FC">
                <w:pPr>
                  <w:pStyle w:val="a6"/>
                </w:pPr>
                <w:r>
                  <w:t>第</w:t>
                </w:r>
                <w:r>
                  <w:t xml:space="preserve"> </w:t>
                </w:r>
                <w:r w:rsidR="00897864">
                  <w:fldChar w:fldCharType="begin"/>
                </w:r>
                <w:r>
                  <w:instrText xml:space="preserve"> PAGE  \* MERGEFORMAT </w:instrText>
                </w:r>
                <w:r w:rsidR="00897864">
                  <w:fldChar w:fldCharType="separate"/>
                </w:r>
                <w:r w:rsidR="0036736A">
                  <w:rPr>
                    <w:noProof/>
                  </w:rPr>
                  <w:t>8</w:t>
                </w:r>
                <w:r w:rsidR="00897864">
                  <w:fldChar w:fldCharType="end"/>
                </w:r>
                <w:r>
                  <w:t xml:space="preserve"> </w:t>
                </w:r>
                <w:r>
                  <w:t>页</w:t>
                </w:r>
                <w:r>
                  <w:t xml:space="preserve"> </w:t>
                </w:r>
                <w:r>
                  <w:t>共</w:t>
                </w:r>
                <w:r>
                  <w:t xml:space="preserve"> </w:t>
                </w:r>
                <w:r w:rsidR="004316B3">
                  <w:fldChar w:fldCharType="begin"/>
                </w:r>
                <w:r w:rsidR="004316B3">
                  <w:instrText xml:space="preserve"> NUMPAGES  \* MERGEFORMAT </w:instrText>
                </w:r>
                <w:r w:rsidR="004316B3">
                  <w:fldChar w:fldCharType="separate"/>
                </w:r>
                <w:r w:rsidR="0036736A">
                  <w:rPr>
                    <w:noProof/>
                  </w:rPr>
                  <w:t>16</w:t>
                </w:r>
                <w:r w:rsidR="004316B3">
                  <w:rPr>
                    <w:noProof/>
                  </w:rPr>
                  <w:fldChar w:fldCharType="end"/>
                </w:r>
                <w:r>
                  <w:t xml:space="preserve"> </w:t>
                </w:r>
                <w:r>
                  <w:t>页</w:t>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6B3" w:rsidRDefault="004316B3" w:rsidP="00897864">
      <w:r>
        <w:separator/>
      </w:r>
    </w:p>
  </w:footnote>
  <w:footnote w:type="continuationSeparator" w:id="0">
    <w:p w:rsidR="004316B3" w:rsidRDefault="004316B3" w:rsidP="008978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UzNTMzMDE4MDgxOTRhMDRiNzJjNjE3YjMzNzIyMjAifQ=="/>
  </w:docVars>
  <w:rsids>
    <w:rsidRoot w:val="14181419"/>
    <w:rsid w:val="0000168F"/>
    <w:rsid w:val="000151A5"/>
    <w:rsid w:val="00064BA0"/>
    <w:rsid w:val="000766CD"/>
    <w:rsid w:val="00095145"/>
    <w:rsid w:val="00096640"/>
    <w:rsid w:val="000D6FCE"/>
    <w:rsid w:val="000E348B"/>
    <w:rsid w:val="000E734D"/>
    <w:rsid w:val="00120339"/>
    <w:rsid w:val="00143687"/>
    <w:rsid w:val="00143B36"/>
    <w:rsid w:val="00144BA7"/>
    <w:rsid w:val="00146692"/>
    <w:rsid w:val="00152B31"/>
    <w:rsid w:val="001530CF"/>
    <w:rsid w:val="00154778"/>
    <w:rsid w:val="00156ED5"/>
    <w:rsid w:val="001B65DA"/>
    <w:rsid w:val="001B759B"/>
    <w:rsid w:val="001E1ADD"/>
    <w:rsid w:val="001E4A83"/>
    <w:rsid w:val="001F140F"/>
    <w:rsid w:val="00201D22"/>
    <w:rsid w:val="00206AC3"/>
    <w:rsid w:val="00212245"/>
    <w:rsid w:val="0024687E"/>
    <w:rsid w:val="00246A05"/>
    <w:rsid w:val="00267B0C"/>
    <w:rsid w:val="00276D5E"/>
    <w:rsid w:val="002B4473"/>
    <w:rsid w:val="002D4673"/>
    <w:rsid w:val="002E2231"/>
    <w:rsid w:val="002E28AA"/>
    <w:rsid w:val="002F2C8F"/>
    <w:rsid w:val="002F33A3"/>
    <w:rsid w:val="002F74FC"/>
    <w:rsid w:val="00300F01"/>
    <w:rsid w:val="0032148A"/>
    <w:rsid w:val="0036736A"/>
    <w:rsid w:val="003713C4"/>
    <w:rsid w:val="00380299"/>
    <w:rsid w:val="00390616"/>
    <w:rsid w:val="00393EE2"/>
    <w:rsid w:val="003979A0"/>
    <w:rsid w:val="003A588A"/>
    <w:rsid w:val="003F2B5E"/>
    <w:rsid w:val="003F637B"/>
    <w:rsid w:val="0041299F"/>
    <w:rsid w:val="004316B3"/>
    <w:rsid w:val="00457F0D"/>
    <w:rsid w:val="00492F8F"/>
    <w:rsid w:val="004B64AE"/>
    <w:rsid w:val="004C2900"/>
    <w:rsid w:val="004C3C75"/>
    <w:rsid w:val="004C46FC"/>
    <w:rsid w:val="00504960"/>
    <w:rsid w:val="00511A3E"/>
    <w:rsid w:val="005138A8"/>
    <w:rsid w:val="00524D01"/>
    <w:rsid w:val="00552E0B"/>
    <w:rsid w:val="0056228F"/>
    <w:rsid w:val="0059073F"/>
    <w:rsid w:val="005972F3"/>
    <w:rsid w:val="005A105B"/>
    <w:rsid w:val="005A5277"/>
    <w:rsid w:val="005E11B4"/>
    <w:rsid w:val="005F5CEB"/>
    <w:rsid w:val="005F679D"/>
    <w:rsid w:val="005F720A"/>
    <w:rsid w:val="00600695"/>
    <w:rsid w:val="00606630"/>
    <w:rsid w:val="006135A3"/>
    <w:rsid w:val="0061740B"/>
    <w:rsid w:val="00657FC5"/>
    <w:rsid w:val="00675D87"/>
    <w:rsid w:val="00693E6E"/>
    <w:rsid w:val="006C3014"/>
    <w:rsid w:val="006F6F51"/>
    <w:rsid w:val="00707DB0"/>
    <w:rsid w:val="0071086D"/>
    <w:rsid w:val="00736D49"/>
    <w:rsid w:val="007650D3"/>
    <w:rsid w:val="0078768E"/>
    <w:rsid w:val="007C7DF4"/>
    <w:rsid w:val="007F4743"/>
    <w:rsid w:val="008075B2"/>
    <w:rsid w:val="00834BB2"/>
    <w:rsid w:val="00837AA9"/>
    <w:rsid w:val="00842955"/>
    <w:rsid w:val="00842BE6"/>
    <w:rsid w:val="00844F54"/>
    <w:rsid w:val="00866CD1"/>
    <w:rsid w:val="00870773"/>
    <w:rsid w:val="0089001D"/>
    <w:rsid w:val="00897864"/>
    <w:rsid w:val="008A2C75"/>
    <w:rsid w:val="008A7285"/>
    <w:rsid w:val="008D6D46"/>
    <w:rsid w:val="008F3FE3"/>
    <w:rsid w:val="00963412"/>
    <w:rsid w:val="009706C8"/>
    <w:rsid w:val="009813DA"/>
    <w:rsid w:val="009845EC"/>
    <w:rsid w:val="009A09B4"/>
    <w:rsid w:val="009A1B10"/>
    <w:rsid w:val="009A345D"/>
    <w:rsid w:val="009A77FA"/>
    <w:rsid w:val="009C470D"/>
    <w:rsid w:val="009F3032"/>
    <w:rsid w:val="009F3CBE"/>
    <w:rsid w:val="00A37F0C"/>
    <w:rsid w:val="00A42A28"/>
    <w:rsid w:val="00AB04C3"/>
    <w:rsid w:val="00AC0461"/>
    <w:rsid w:val="00AD679C"/>
    <w:rsid w:val="00AE739C"/>
    <w:rsid w:val="00AF2668"/>
    <w:rsid w:val="00AF3336"/>
    <w:rsid w:val="00B406C6"/>
    <w:rsid w:val="00B5194C"/>
    <w:rsid w:val="00B55CC2"/>
    <w:rsid w:val="00B615E4"/>
    <w:rsid w:val="00B84057"/>
    <w:rsid w:val="00B90D82"/>
    <w:rsid w:val="00B97D94"/>
    <w:rsid w:val="00BA0647"/>
    <w:rsid w:val="00BD16AA"/>
    <w:rsid w:val="00C47295"/>
    <w:rsid w:val="00C503E4"/>
    <w:rsid w:val="00C5363D"/>
    <w:rsid w:val="00C67531"/>
    <w:rsid w:val="00CC2F90"/>
    <w:rsid w:val="00CC4F47"/>
    <w:rsid w:val="00CE368B"/>
    <w:rsid w:val="00D20847"/>
    <w:rsid w:val="00D23A45"/>
    <w:rsid w:val="00D452F8"/>
    <w:rsid w:val="00D673BE"/>
    <w:rsid w:val="00DA1B16"/>
    <w:rsid w:val="00E22CF3"/>
    <w:rsid w:val="00E31362"/>
    <w:rsid w:val="00E53DED"/>
    <w:rsid w:val="00E6284A"/>
    <w:rsid w:val="00E62853"/>
    <w:rsid w:val="00E85A9F"/>
    <w:rsid w:val="00ED5A92"/>
    <w:rsid w:val="00EE05A7"/>
    <w:rsid w:val="00EE490A"/>
    <w:rsid w:val="00EE5FB4"/>
    <w:rsid w:val="00EF1811"/>
    <w:rsid w:val="00F075BA"/>
    <w:rsid w:val="00F26B7C"/>
    <w:rsid w:val="00F3049F"/>
    <w:rsid w:val="00F317AD"/>
    <w:rsid w:val="00F34750"/>
    <w:rsid w:val="00F363EC"/>
    <w:rsid w:val="00F66AC7"/>
    <w:rsid w:val="00F81BA4"/>
    <w:rsid w:val="00FB7A1B"/>
    <w:rsid w:val="00FD7378"/>
    <w:rsid w:val="01154EDD"/>
    <w:rsid w:val="013B6C1A"/>
    <w:rsid w:val="014A2DD9"/>
    <w:rsid w:val="017B5688"/>
    <w:rsid w:val="01EC3FB9"/>
    <w:rsid w:val="02054F52"/>
    <w:rsid w:val="02201D8C"/>
    <w:rsid w:val="024E46BC"/>
    <w:rsid w:val="02CD3CC1"/>
    <w:rsid w:val="02D52B76"/>
    <w:rsid w:val="0337738D"/>
    <w:rsid w:val="03391357"/>
    <w:rsid w:val="03503A2D"/>
    <w:rsid w:val="037405E1"/>
    <w:rsid w:val="0377378E"/>
    <w:rsid w:val="03791D06"/>
    <w:rsid w:val="03A231C1"/>
    <w:rsid w:val="03B31109"/>
    <w:rsid w:val="03CF75C5"/>
    <w:rsid w:val="047F0FEB"/>
    <w:rsid w:val="04825F92"/>
    <w:rsid w:val="04E62E18"/>
    <w:rsid w:val="050840DD"/>
    <w:rsid w:val="05094D59"/>
    <w:rsid w:val="05462526"/>
    <w:rsid w:val="05526700"/>
    <w:rsid w:val="05631E37"/>
    <w:rsid w:val="05656433"/>
    <w:rsid w:val="05E03D0C"/>
    <w:rsid w:val="05FB6D97"/>
    <w:rsid w:val="0633208D"/>
    <w:rsid w:val="06353C4E"/>
    <w:rsid w:val="06B807E5"/>
    <w:rsid w:val="06C947A0"/>
    <w:rsid w:val="06D55EFB"/>
    <w:rsid w:val="070C4558"/>
    <w:rsid w:val="07527CF9"/>
    <w:rsid w:val="07660241"/>
    <w:rsid w:val="076A4F65"/>
    <w:rsid w:val="077C6286"/>
    <w:rsid w:val="077E1A2E"/>
    <w:rsid w:val="078B414B"/>
    <w:rsid w:val="07C02047"/>
    <w:rsid w:val="07C136C9"/>
    <w:rsid w:val="07C37441"/>
    <w:rsid w:val="085B58CB"/>
    <w:rsid w:val="086A1FB2"/>
    <w:rsid w:val="0895472E"/>
    <w:rsid w:val="08CA4DCB"/>
    <w:rsid w:val="09197888"/>
    <w:rsid w:val="09300B06"/>
    <w:rsid w:val="0955092D"/>
    <w:rsid w:val="09570789"/>
    <w:rsid w:val="09A137B2"/>
    <w:rsid w:val="09AA4D5C"/>
    <w:rsid w:val="09BF61ED"/>
    <w:rsid w:val="09D04097"/>
    <w:rsid w:val="0B0B35D9"/>
    <w:rsid w:val="0B13248D"/>
    <w:rsid w:val="0B1C0F00"/>
    <w:rsid w:val="0B9108F5"/>
    <w:rsid w:val="0BB7550F"/>
    <w:rsid w:val="0BC47C2C"/>
    <w:rsid w:val="0BD026C8"/>
    <w:rsid w:val="0BD53BE7"/>
    <w:rsid w:val="0BE36304"/>
    <w:rsid w:val="0C0544CC"/>
    <w:rsid w:val="0C085CA5"/>
    <w:rsid w:val="0C0945F1"/>
    <w:rsid w:val="0C662A91"/>
    <w:rsid w:val="0C7156BE"/>
    <w:rsid w:val="0C851169"/>
    <w:rsid w:val="0CEF0CD8"/>
    <w:rsid w:val="0CEF2A86"/>
    <w:rsid w:val="0D003541"/>
    <w:rsid w:val="0D0C397A"/>
    <w:rsid w:val="0D58687D"/>
    <w:rsid w:val="0D821B4C"/>
    <w:rsid w:val="0D896A37"/>
    <w:rsid w:val="0DA948EC"/>
    <w:rsid w:val="0DB61957"/>
    <w:rsid w:val="0DC44854"/>
    <w:rsid w:val="0E1C5904"/>
    <w:rsid w:val="0E2055ED"/>
    <w:rsid w:val="0E3F1A4C"/>
    <w:rsid w:val="0E461615"/>
    <w:rsid w:val="0E4A5DDF"/>
    <w:rsid w:val="0E4F1A2E"/>
    <w:rsid w:val="0E8F62CF"/>
    <w:rsid w:val="0E903DF5"/>
    <w:rsid w:val="0EF20709"/>
    <w:rsid w:val="0F236AD5"/>
    <w:rsid w:val="0FD77F2D"/>
    <w:rsid w:val="0FE90A3F"/>
    <w:rsid w:val="102B0E6B"/>
    <w:rsid w:val="102E38C6"/>
    <w:rsid w:val="1030536D"/>
    <w:rsid w:val="106157F8"/>
    <w:rsid w:val="109B492D"/>
    <w:rsid w:val="10B73E46"/>
    <w:rsid w:val="10BE10ED"/>
    <w:rsid w:val="111451B1"/>
    <w:rsid w:val="1122342A"/>
    <w:rsid w:val="115D0906"/>
    <w:rsid w:val="11603F53"/>
    <w:rsid w:val="118054F2"/>
    <w:rsid w:val="11A227BD"/>
    <w:rsid w:val="11A958FA"/>
    <w:rsid w:val="11EB7CC0"/>
    <w:rsid w:val="123754F8"/>
    <w:rsid w:val="12505B99"/>
    <w:rsid w:val="12ED7789"/>
    <w:rsid w:val="12F75EB0"/>
    <w:rsid w:val="12FD362F"/>
    <w:rsid w:val="135D4BEE"/>
    <w:rsid w:val="13763F01"/>
    <w:rsid w:val="13906804"/>
    <w:rsid w:val="13E1581F"/>
    <w:rsid w:val="14181419"/>
    <w:rsid w:val="14226D0F"/>
    <w:rsid w:val="1444190A"/>
    <w:rsid w:val="144731A8"/>
    <w:rsid w:val="147A44EB"/>
    <w:rsid w:val="149A59CD"/>
    <w:rsid w:val="14A8633C"/>
    <w:rsid w:val="14E8498B"/>
    <w:rsid w:val="14EB475C"/>
    <w:rsid w:val="14ED231D"/>
    <w:rsid w:val="15211C4B"/>
    <w:rsid w:val="152B05E3"/>
    <w:rsid w:val="1548367B"/>
    <w:rsid w:val="157601E9"/>
    <w:rsid w:val="15BF5528"/>
    <w:rsid w:val="15CA4090"/>
    <w:rsid w:val="15F1161D"/>
    <w:rsid w:val="15F80BFE"/>
    <w:rsid w:val="160143C4"/>
    <w:rsid w:val="167F4B15"/>
    <w:rsid w:val="169E17A5"/>
    <w:rsid w:val="16A66239"/>
    <w:rsid w:val="17081314"/>
    <w:rsid w:val="172123D6"/>
    <w:rsid w:val="174D518E"/>
    <w:rsid w:val="178070FD"/>
    <w:rsid w:val="17D8259B"/>
    <w:rsid w:val="185A16FC"/>
    <w:rsid w:val="18786026"/>
    <w:rsid w:val="189310B2"/>
    <w:rsid w:val="189F35B2"/>
    <w:rsid w:val="18E831AB"/>
    <w:rsid w:val="18FC0A05"/>
    <w:rsid w:val="194859F8"/>
    <w:rsid w:val="196A0EE8"/>
    <w:rsid w:val="197F1D31"/>
    <w:rsid w:val="19843555"/>
    <w:rsid w:val="19866F7A"/>
    <w:rsid w:val="1991739F"/>
    <w:rsid w:val="19CD70AA"/>
    <w:rsid w:val="1A4E76F7"/>
    <w:rsid w:val="1AF8515B"/>
    <w:rsid w:val="1B1464DA"/>
    <w:rsid w:val="1B487F31"/>
    <w:rsid w:val="1B813443"/>
    <w:rsid w:val="1BAF6202"/>
    <w:rsid w:val="1BC11A92"/>
    <w:rsid w:val="1BC31CAE"/>
    <w:rsid w:val="1BCF59AB"/>
    <w:rsid w:val="1BDD2D6F"/>
    <w:rsid w:val="1BF30D1B"/>
    <w:rsid w:val="1C2D0D45"/>
    <w:rsid w:val="1C4D7BC1"/>
    <w:rsid w:val="1C744D56"/>
    <w:rsid w:val="1C844F99"/>
    <w:rsid w:val="1CC96E50"/>
    <w:rsid w:val="1CF30371"/>
    <w:rsid w:val="1D693ED9"/>
    <w:rsid w:val="1D8D60CF"/>
    <w:rsid w:val="1DA11B7B"/>
    <w:rsid w:val="1DA83E35"/>
    <w:rsid w:val="1DD0260F"/>
    <w:rsid w:val="1DF61F64"/>
    <w:rsid w:val="1EA96F39"/>
    <w:rsid w:val="1EC85764"/>
    <w:rsid w:val="1F1F369F"/>
    <w:rsid w:val="1F5F1CED"/>
    <w:rsid w:val="1FC35DD8"/>
    <w:rsid w:val="204A02A8"/>
    <w:rsid w:val="206051B5"/>
    <w:rsid w:val="208C266E"/>
    <w:rsid w:val="20A91472"/>
    <w:rsid w:val="2110329F"/>
    <w:rsid w:val="211508B6"/>
    <w:rsid w:val="21294361"/>
    <w:rsid w:val="212E5E4C"/>
    <w:rsid w:val="21577120"/>
    <w:rsid w:val="21B66059"/>
    <w:rsid w:val="21CB7B6A"/>
    <w:rsid w:val="21CD1190"/>
    <w:rsid w:val="21D32C24"/>
    <w:rsid w:val="21E36C06"/>
    <w:rsid w:val="21FF50C2"/>
    <w:rsid w:val="222F1E4B"/>
    <w:rsid w:val="22590C76"/>
    <w:rsid w:val="228F33A1"/>
    <w:rsid w:val="22AD39B9"/>
    <w:rsid w:val="22C819EE"/>
    <w:rsid w:val="22EB3FC4"/>
    <w:rsid w:val="22FB7F7F"/>
    <w:rsid w:val="23294AEC"/>
    <w:rsid w:val="232B25A1"/>
    <w:rsid w:val="234E638F"/>
    <w:rsid w:val="235A6A54"/>
    <w:rsid w:val="23D762F6"/>
    <w:rsid w:val="23EB4B7A"/>
    <w:rsid w:val="24286B52"/>
    <w:rsid w:val="2471674B"/>
    <w:rsid w:val="24BD6C4F"/>
    <w:rsid w:val="24E94533"/>
    <w:rsid w:val="24FA6740"/>
    <w:rsid w:val="2506728F"/>
    <w:rsid w:val="25494FD2"/>
    <w:rsid w:val="25757B75"/>
    <w:rsid w:val="26040EF9"/>
    <w:rsid w:val="26230A92"/>
    <w:rsid w:val="265A2DE8"/>
    <w:rsid w:val="26841C9F"/>
    <w:rsid w:val="26955FF5"/>
    <w:rsid w:val="26B239ED"/>
    <w:rsid w:val="26DD00C8"/>
    <w:rsid w:val="26F251F5"/>
    <w:rsid w:val="27421CD9"/>
    <w:rsid w:val="27802801"/>
    <w:rsid w:val="27A74232"/>
    <w:rsid w:val="27D72D69"/>
    <w:rsid w:val="28074CD0"/>
    <w:rsid w:val="286E196A"/>
    <w:rsid w:val="288307FB"/>
    <w:rsid w:val="2898368D"/>
    <w:rsid w:val="28B05368"/>
    <w:rsid w:val="28D022A0"/>
    <w:rsid w:val="290477E0"/>
    <w:rsid w:val="2916341D"/>
    <w:rsid w:val="294A756A"/>
    <w:rsid w:val="29826D04"/>
    <w:rsid w:val="29A42626"/>
    <w:rsid w:val="29B6075C"/>
    <w:rsid w:val="2A034386"/>
    <w:rsid w:val="2A0D0CC4"/>
    <w:rsid w:val="2A3C6EB3"/>
    <w:rsid w:val="2AA1140C"/>
    <w:rsid w:val="2ABF7AE4"/>
    <w:rsid w:val="2AE8528D"/>
    <w:rsid w:val="2B17347C"/>
    <w:rsid w:val="2B1D19B8"/>
    <w:rsid w:val="2B230073"/>
    <w:rsid w:val="2B4C1378"/>
    <w:rsid w:val="2B726905"/>
    <w:rsid w:val="2B88437A"/>
    <w:rsid w:val="2BA32F62"/>
    <w:rsid w:val="2BB1567F"/>
    <w:rsid w:val="2BB313F7"/>
    <w:rsid w:val="2BB7167F"/>
    <w:rsid w:val="2BBE1B4A"/>
    <w:rsid w:val="2BD17ACF"/>
    <w:rsid w:val="2BD4136D"/>
    <w:rsid w:val="2C2916B9"/>
    <w:rsid w:val="2C385DA0"/>
    <w:rsid w:val="2C57495C"/>
    <w:rsid w:val="2C9254B0"/>
    <w:rsid w:val="2CA17262"/>
    <w:rsid w:val="2CDA29B3"/>
    <w:rsid w:val="2CE51A84"/>
    <w:rsid w:val="2CE90E48"/>
    <w:rsid w:val="2D0F08AF"/>
    <w:rsid w:val="2E1D349F"/>
    <w:rsid w:val="2E3F3416"/>
    <w:rsid w:val="2E5A24E2"/>
    <w:rsid w:val="2EA83D72"/>
    <w:rsid w:val="2EAD4823"/>
    <w:rsid w:val="2EC65434"/>
    <w:rsid w:val="2ECB6A58"/>
    <w:rsid w:val="2F4B5DEA"/>
    <w:rsid w:val="2F560A17"/>
    <w:rsid w:val="2F974B8C"/>
    <w:rsid w:val="2FB969C8"/>
    <w:rsid w:val="2FD14B9B"/>
    <w:rsid w:val="2FFB336C"/>
    <w:rsid w:val="306E1D90"/>
    <w:rsid w:val="30AB6B41"/>
    <w:rsid w:val="30D42497"/>
    <w:rsid w:val="31401D64"/>
    <w:rsid w:val="31436D79"/>
    <w:rsid w:val="31475880"/>
    <w:rsid w:val="31501496"/>
    <w:rsid w:val="318A28D4"/>
    <w:rsid w:val="31992E3D"/>
    <w:rsid w:val="31AD68E8"/>
    <w:rsid w:val="31B61C41"/>
    <w:rsid w:val="31D42811"/>
    <w:rsid w:val="31DB02DB"/>
    <w:rsid w:val="320F75A3"/>
    <w:rsid w:val="32430FFB"/>
    <w:rsid w:val="3272068C"/>
    <w:rsid w:val="32764F2C"/>
    <w:rsid w:val="32785148"/>
    <w:rsid w:val="32A8036C"/>
    <w:rsid w:val="32B12408"/>
    <w:rsid w:val="32CF5ADE"/>
    <w:rsid w:val="32D560F7"/>
    <w:rsid w:val="33680D19"/>
    <w:rsid w:val="33A37FA3"/>
    <w:rsid w:val="33D463AE"/>
    <w:rsid w:val="343C0A9B"/>
    <w:rsid w:val="34533777"/>
    <w:rsid w:val="34E93982"/>
    <w:rsid w:val="34EE524E"/>
    <w:rsid w:val="3511718E"/>
    <w:rsid w:val="352D221A"/>
    <w:rsid w:val="35727C2D"/>
    <w:rsid w:val="357E0BE0"/>
    <w:rsid w:val="35C81F43"/>
    <w:rsid w:val="35CF32D1"/>
    <w:rsid w:val="35D125AE"/>
    <w:rsid w:val="360D3DFA"/>
    <w:rsid w:val="36251143"/>
    <w:rsid w:val="364C2B74"/>
    <w:rsid w:val="36743E79"/>
    <w:rsid w:val="369E0EF6"/>
    <w:rsid w:val="36B50F25"/>
    <w:rsid w:val="36E032BC"/>
    <w:rsid w:val="36FD5C1C"/>
    <w:rsid w:val="370A25EB"/>
    <w:rsid w:val="37133BC2"/>
    <w:rsid w:val="37403D5B"/>
    <w:rsid w:val="374970B3"/>
    <w:rsid w:val="37B87D95"/>
    <w:rsid w:val="381620C6"/>
    <w:rsid w:val="38233460"/>
    <w:rsid w:val="38397128"/>
    <w:rsid w:val="38A10829"/>
    <w:rsid w:val="38EE794F"/>
    <w:rsid w:val="39253208"/>
    <w:rsid w:val="392C0A3B"/>
    <w:rsid w:val="39AB5E03"/>
    <w:rsid w:val="39E6508D"/>
    <w:rsid w:val="3A0B0B06"/>
    <w:rsid w:val="3A685AA2"/>
    <w:rsid w:val="3A773F37"/>
    <w:rsid w:val="3AAC1E33"/>
    <w:rsid w:val="3AD76784"/>
    <w:rsid w:val="3AEB6910"/>
    <w:rsid w:val="3AFF6407"/>
    <w:rsid w:val="3B6C3370"/>
    <w:rsid w:val="3B8B19B1"/>
    <w:rsid w:val="3BA23236"/>
    <w:rsid w:val="3BBF16F2"/>
    <w:rsid w:val="3BF75330"/>
    <w:rsid w:val="3C0417FB"/>
    <w:rsid w:val="3C6D73A0"/>
    <w:rsid w:val="3C9819CB"/>
    <w:rsid w:val="3CAA05F4"/>
    <w:rsid w:val="3CB52AF5"/>
    <w:rsid w:val="3CC92485"/>
    <w:rsid w:val="3CE545DB"/>
    <w:rsid w:val="3CEC4B63"/>
    <w:rsid w:val="3CF74EBC"/>
    <w:rsid w:val="3D163594"/>
    <w:rsid w:val="3D6D517E"/>
    <w:rsid w:val="3D8726E3"/>
    <w:rsid w:val="3DB35B35"/>
    <w:rsid w:val="3E2F67FC"/>
    <w:rsid w:val="3E611FE4"/>
    <w:rsid w:val="3EC6100D"/>
    <w:rsid w:val="3EC84D62"/>
    <w:rsid w:val="3EFE4C27"/>
    <w:rsid w:val="3F2C52F0"/>
    <w:rsid w:val="3F9D1D4A"/>
    <w:rsid w:val="3FA47A89"/>
    <w:rsid w:val="3FA96941"/>
    <w:rsid w:val="3FCE45FA"/>
    <w:rsid w:val="3FD55988"/>
    <w:rsid w:val="3FD85478"/>
    <w:rsid w:val="40095632"/>
    <w:rsid w:val="403B1563"/>
    <w:rsid w:val="4079476E"/>
    <w:rsid w:val="408A369D"/>
    <w:rsid w:val="40A92971"/>
    <w:rsid w:val="40BA4B7E"/>
    <w:rsid w:val="40BA673E"/>
    <w:rsid w:val="40CA3013"/>
    <w:rsid w:val="40D07BA2"/>
    <w:rsid w:val="40D1225F"/>
    <w:rsid w:val="412D5350"/>
    <w:rsid w:val="4162324B"/>
    <w:rsid w:val="41727207"/>
    <w:rsid w:val="418A1E46"/>
    <w:rsid w:val="41A05B22"/>
    <w:rsid w:val="42097B6B"/>
    <w:rsid w:val="42157286"/>
    <w:rsid w:val="421A1D78"/>
    <w:rsid w:val="42272111"/>
    <w:rsid w:val="42413380"/>
    <w:rsid w:val="425D3A13"/>
    <w:rsid w:val="42701998"/>
    <w:rsid w:val="42A94EAA"/>
    <w:rsid w:val="42BB4857"/>
    <w:rsid w:val="42CB4E20"/>
    <w:rsid w:val="42F0333F"/>
    <w:rsid w:val="431F6F1A"/>
    <w:rsid w:val="432A5FEB"/>
    <w:rsid w:val="43317379"/>
    <w:rsid w:val="436F1C50"/>
    <w:rsid w:val="43917E18"/>
    <w:rsid w:val="43A23DD3"/>
    <w:rsid w:val="43C401ED"/>
    <w:rsid w:val="43D40515"/>
    <w:rsid w:val="43EF0FE2"/>
    <w:rsid w:val="440525B4"/>
    <w:rsid w:val="44380293"/>
    <w:rsid w:val="443D3AFC"/>
    <w:rsid w:val="443F5AC6"/>
    <w:rsid w:val="44817E8C"/>
    <w:rsid w:val="44A92F3F"/>
    <w:rsid w:val="44CB5274"/>
    <w:rsid w:val="44D20F12"/>
    <w:rsid w:val="455870C9"/>
    <w:rsid w:val="45850C32"/>
    <w:rsid w:val="458A0FC3"/>
    <w:rsid w:val="45F14B9E"/>
    <w:rsid w:val="460F3276"/>
    <w:rsid w:val="46236D21"/>
    <w:rsid w:val="46304E6E"/>
    <w:rsid w:val="464253F9"/>
    <w:rsid w:val="46537607"/>
    <w:rsid w:val="46F81F5C"/>
    <w:rsid w:val="46FC5729"/>
    <w:rsid w:val="47046842"/>
    <w:rsid w:val="473A2575"/>
    <w:rsid w:val="478C2596"/>
    <w:rsid w:val="47B57E4D"/>
    <w:rsid w:val="47CA7D9C"/>
    <w:rsid w:val="47F00068"/>
    <w:rsid w:val="47F6649C"/>
    <w:rsid w:val="48104E03"/>
    <w:rsid w:val="483B47F6"/>
    <w:rsid w:val="48653621"/>
    <w:rsid w:val="48693111"/>
    <w:rsid w:val="48735D3E"/>
    <w:rsid w:val="48C42A3E"/>
    <w:rsid w:val="49311755"/>
    <w:rsid w:val="495C4A24"/>
    <w:rsid w:val="497944EE"/>
    <w:rsid w:val="49885819"/>
    <w:rsid w:val="499917D4"/>
    <w:rsid w:val="499A72FA"/>
    <w:rsid w:val="4A225C6E"/>
    <w:rsid w:val="4A317C5F"/>
    <w:rsid w:val="4A4200BE"/>
    <w:rsid w:val="4A4F27DB"/>
    <w:rsid w:val="4A6A3171"/>
    <w:rsid w:val="4A7374FD"/>
    <w:rsid w:val="4A800BE6"/>
    <w:rsid w:val="4AE7656F"/>
    <w:rsid w:val="4B223A4B"/>
    <w:rsid w:val="4B6E4EE3"/>
    <w:rsid w:val="4B904E59"/>
    <w:rsid w:val="4B9C55AC"/>
    <w:rsid w:val="4BB87F0C"/>
    <w:rsid w:val="4BBD5522"/>
    <w:rsid w:val="4BE13907"/>
    <w:rsid w:val="4BE27F8A"/>
    <w:rsid w:val="4BF21670"/>
    <w:rsid w:val="4C0849EF"/>
    <w:rsid w:val="4C0C0983"/>
    <w:rsid w:val="4C12586E"/>
    <w:rsid w:val="4C1F6955"/>
    <w:rsid w:val="4CA24E44"/>
    <w:rsid w:val="4CB21AFB"/>
    <w:rsid w:val="4CBE77A4"/>
    <w:rsid w:val="4CF431C6"/>
    <w:rsid w:val="4D670166"/>
    <w:rsid w:val="4D7C5695"/>
    <w:rsid w:val="4D7E765F"/>
    <w:rsid w:val="4DB52955"/>
    <w:rsid w:val="4DC42B98"/>
    <w:rsid w:val="4DC82688"/>
    <w:rsid w:val="4DCD5698"/>
    <w:rsid w:val="4E105DDD"/>
    <w:rsid w:val="4E8D5806"/>
    <w:rsid w:val="4EB21A54"/>
    <w:rsid w:val="4ECF5307"/>
    <w:rsid w:val="4ED52497"/>
    <w:rsid w:val="4ED60DD5"/>
    <w:rsid w:val="4EDF237F"/>
    <w:rsid w:val="4F133DD7"/>
    <w:rsid w:val="4F31425D"/>
    <w:rsid w:val="4F3E697A"/>
    <w:rsid w:val="4F54124B"/>
    <w:rsid w:val="4F8E7901"/>
    <w:rsid w:val="4FA72771"/>
    <w:rsid w:val="4FB07878"/>
    <w:rsid w:val="4FD25A40"/>
    <w:rsid w:val="4FD86DCF"/>
    <w:rsid w:val="504932BA"/>
    <w:rsid w:val="50A373DC"/>
    <w:rsid w:val="50C335DB"/>
    <w:rsid w:val="50D55606"/>
    <w:rsid w:val="50EF2622"/>
    <w:rsid w:val="50F11EF6"/>
    <w:rsid w:val="510A120A"/>
    <w:rsid w:val="511931FB"/>
    <w:rsid w:val="512A18AC"/>
    <w:rsid w:val="51383FC9"/>
    <w:rsid w:val="514566E6"/>
    <w:rsid w:val="51736DAF"/>
    <w:rsid w:val="52187956"/>
    <w:rsid w:val="521C002A"/>
    <w:rsid w:val="521F1A35"/>
    <w:rsid w:val="5221680B"/>
    <w:rsid w:val="522D3402"/>
    <w:rsid w:val="5245699D"/>
    <w:rsid w:val="52462715"/>
    <w:rsid w:val="526130AB"/>
    <w:rsid w:val="526861E8"/>
    <w:rsid w:val="5288688A"/>
    <w:rsid w:val="5294522F"/>
    <w:rsid w:val="52E87329"/>
    <w:rsid w:val="52F12681"/>
    <w:rsid w:val="53004672"/>
    <w:rsid w:val="53605111"/>
    <w:rsid w:val="53F8359B"/>
    <w:rsid w:val="540208BE"/>
    <w:rsid w:val="5406215C"/>
    <w:rsid w:val="540D34EB"/>
    <w:rsid w:val="54413194"/>
    <w:rsid w:val="544467E1"/>
    <w:rsid w:val="54696247"/>
    <w:rsid w:val="546F0DA7"/>
    <w:rsid w:val="5480697A"/>
    <w:rsid w:val="54A159E1"/>
    <w:rsid w:val="54A3155A"/>
    <w:rsid w:val="54AB4A7B"/>
    <w:rsid w:val="54D67D81"/>
    <w:rsid w:val="54DE4E87"/>
    <w:rsid w:val="550B1F09"/>
    <w:rsid w:val="557E54E7"/>
    <w:rsid w:val="558E065B"/>
    <w:rsid w:val="559D264C"/>
    <w:rsid w:val="55A27C63"/>
    <w:rsid w:val="55B856D8"/>
    <w:rsid w:val="55D41DE6"/>
    <w:rsid w:val="56440D1A"/>
    <w:rsid w:val="564725B8"/>
    <w:rsid w:val="5648468A"/>
    <w:rsid w:val="56811F6E"/>
    <w:rsid w:val="568850AA"/>
    <w:rsid w:val="56A2484D"/>
    <w:rsid w:val="56D402F0"/>
    <w:rsid w:val="57256D9D"/>
    <w:rsid w:val="57816421"/>
    <w:rsid w:val="579B2BBB"/>
    <w:rsid w:val="57BD1E91"/>
    <w:rsid w:val="581C286A"/>
    <w:rsid w:val="582C415B"/>
    <w:rsid w:val="58385F74"/>
    <w:rsid w:val="585D4315"/>
    <w:rsid w:val="58BC54DF"/>
    <w:rsid w:val="58C6010C"/>
    <w:rsid w:val="591913F1"/>
    <w:rsid w:val="591C2A03"/>
    <w:rsid w:val="5943175D"/>
    <w:rsid w:val="59592D2E"/>
    <w:rsid w:val="595E20F3"/>
    <w:rsid w:val="59771406"/>
    <w:rsid w:val="597D2F61"/>
    <w:rsid w:val="59B54F08"/>
    <w:rsid w:val="59C81C62"/>
    <w:rsid w:val="59D14FBA"/>
    <w:rsid w:val="59F84FB1"/>
    <w:rsid w:val="59F858DB"/>
    <w:rsid w:val="5A005CFC"/>
    <w:rsid w:val="5A2A3DEF"/>
    <w:rsid w:val="5A5C1CE7"/>
    <w:rsid w:val="5A7E4D43"/>
    <w:rsid w:val="5A9A53AC"/>
    <w:rsid w:val="5AA93841"/>
    <w:rsid w:val="5AC370EF"/>
    <w:rsid w:val="5AD7215D"/>
    <w:rsid w:val="5AFC1BC3"/>
    <w:rsid w:val="5BD7618C"/>
    <w:rsid w:val="5C001B87"/>
    <w:rsid w:val="5C7B2FBB"/>
    <w:rsid w:val="5CA40764"/>
    <w:rsid w:val="5CC85DD9"/>
    <w:rsid w:val="5D07484F"/>
    <w:rsid w:val="5D665A1A"/>
    <w:rsid w:val="5D672B27"/>
    <w:rsid w:val="5D964551"/>
    <w:rsid w:val="5DA16A52"/>
    <w:rsid w:val="5DA36C6E"/>
    <w:rsid w:val="5DD24E5D"/>
    <w:rsid w:val="5E0F7E5F"/>
    <w:rsid w:val="5E14191A"/>
    <w:rsid w:val="5EC944B2"/>
    <w:rsid w:val="5F061262"/>
    <w:rsid w:val="5F3D4E58"/>
    <w:rsid w:val="5F5244A8"/>
    <w:rsid w:val="5F6E4A8B"/>
    <w:rsid w:val="5F7E529D"/>
    <w:rsid w:val="5FB310DF"/>
    <w:rsid w:val="5FD20EC1"/>
    <w:rsid w:val="5FDE5D3B"/>
    <w:rsid w:val="5FE5356E"/>
    <w:rsid w:val="5FF92B75"/>
    <w:rsid w:val="60070FF5"/>
    <w:rsid w:val="605B435E"/>
    <w:rsid w:val="60A46F85"/>
    <w:rsid w:val="613320B7"/>
    <w:rsid w:val="614B5652"/>
    <w:rsid w:val="615F2EAC"/>
    <w:rsid w:val="61BD7BD2"/>
    <w:rsid w:val="61D03DA9"/>
    <w:rsid w:val="62083543"/>
    <w:rsid w:val="622B0FE0"/>
    <w:rsid w:val="6239042B"/>
    <w:rsid w:val="625247BE"/>
    <w:rsid w:val="62B877A9"/>
    <w:rsid w:val="62D36C02"/>
    <w:rsid w:val="62D6719E"/>
    <w:rsid w:val="63642537"/>
    <w:rsid w:val="6372336A"/>
    <w:rsid w:val="63EB4ECB"/>
    <w:rsid w:val="642B7805"/>
    <w:rsid w:val="64436AB5"/>
    <w:rsid w:val="644F1F00"/>
    <w:rsid w:val="64813139"/>
    <w:rsid w:val="64AD3A81"/>
    <w:rsid w:val="64CD637E"/>
    <w:rsid w:val="65735178"/>
    <w:rsid w:val="6578453C"/>
    <w:rsid w:val="65AB70EC"/>
    <w:rsid w:val="65CD71A7"/>
    <w:rsid w:val="66216982"/>
    <w:rsid w:val="662621EA"/>
    <w:rsid w:val="6694184A"/>
    <w:rsid w:val="673F17B5"/>
    <w:rsid w:val="67A91325"/>
    <w:rsid w:val="67B476E5"/>
    <w:rsid w:val="67DB659D"/>
    <w:rsid w:val="680B1697"/>
    <w:rsid w:val="68295FC1"/>
    <w:rsid w:val="687C254D"/>
    <w:rsid w:val="68D300DD"/>
    <w:rsid w:val="68E14F61"/>
    <w:rsid w:val="68F640F6"/>
    <w:rsid w:val="692C7B17"/>
    <w:rsid w:val="693C68D0"/>
    <w:rsid w:val="69B63885"/>
    <w:rsid w:val="69B76B81"/>
    <w:rsid w:val="69B909D7"/>
    <w:rsid w:val="69BF098B"/>
    <w:rsid w:val="69C051F1"/>
    <w:rsid w:val="6A2C1D99"/>
    <w:rsid w:val="6A303637"/>
    <w:rsid w:val="6A564D5C"/>
    <w:rsid w:val="6A837C0B"/>
    <w:rsid w:val="6ABD54CC"/>
    <w:rsid w:val="6AD93CCF"/>
    <w:rsid w:val="6AE61F48"/>
    <w:rsid w:val="6B146AB5"/>
    <w:rsid w:val="6B2807B2"/>
    <w:rsid w:val="6B2F4D02"/>
    <w:rsid w:val="6B4C0B24"/>
    <w:rsid w:val="6BBF1858"/>
    <w:rsid w:val="6BCA5104"/>
    <w:rsid w:val="6BF07522"/>
    <w:rsid w:val="6C4B6506"/>
    <w:rsid w:val="6C596DB4"/>
    <w:rsid w:val="6C5A0E3F"/>
    <w:rsid w:val="6C5F0204"/>
    <w:rsid w:val="6C6D6230"/>
    <w:rsid w:val="6C871509"/>
    <w:rsid w:val="6C895281"/>
    <w:rsid w:val="6C922387"/>
    <w:rsid w:val="6C9E6F7E"/>
    <w:rsid w:val="6CD258B0"/>
    <w:rsid w:val="6CE903E8"/>
    <w:rsid w:val="6D1E1539"/>
    <w:rsid w:val="6D21370B"/>
    <w:rsid w:val="6D8819DC"/>
    <w:rsid w:val="6DB90886"/>
    <w:rsid w:val="6DC24EEE"/>
    <w:rsid w:val="6DC522E8"/>
    <w:rsid w:val="6E0E5A3E"/>
    <w:rsid w:val="6E596F8D"/>
    <w:rsid w:val="6E5A7BE7"/>
    <w:rsid w:val="6E5D69C5"/>
    <w:rsid w:val="6E8201DA"/>
    <w:rsid w:val="6E982396"/>
    <w:rsid w:val="6EAB3BD4"/>
    <w:rsid w:val="6EBA20A6"/>
    <w:rsid w:val="6F103A37"/>
    <w:rsid w:val="6F116908"/>
    <w:rsid w:val="6F2474E3"/>
    <w:rsid w:val="6F616041"/>
    <w:rsid w:val="6FF47321"/>
    <w:rsid w:val="70077029"/>
    <w:rsid w:val="704F058F"/>
    <w:rsid w:val="70585696"/>
    <w:rsid w:val="70645DE9"/>
    <w:rsid w:val="70A44432"/>
    <w:rsid w:val="70C76378"/>
    <w:rsid w:val="70DF7B65"/>
    <w:rsid w:val="70E96D15"/>
    <w:rsid w:val="70FC4273"/>
    <w:rsid w:val="710D130A"/>
    <w:rsid w:val="71771B4C"/>
    <w:rsid w:val="71900C5A"/>
    <w:rsid w:val="71900E5F"/>
    <w:rsid w:val="719646C8"/>
    <w:rsid w:val="71A16BC9"/>
    <w:rsid w:val="71B608C6"/>
    <w:rsid w:val="71C32FE3"/>
    <w:rsid w:val="71FF0A70"/>
    <w:rsid w:val="72011CD3"/>
    <w:rsid w:val="721C207D"/>
    <w:rsid w:val="72E62DF3"/>
    <w:rsid w:val="735C36EF"/>
    <w:rsid w:val="738B05D2"/>
    <w:rsid w:val="73AF7CC3"/>
    <w:rsid w:val="73CD1EF7"/>
    <w:rsid w:val="73E3171A"/>
    <w:rsid w:val="73F456D6"/>
    <w:rsid w:val="7440091B"/>
    <w:rsid w:val="74471CA9"/>
    <w:rsid w:val="746E52AC"/>
    <w:rsid w:val="747E57F8"/>
    <w:rsid w:val="74AA2238"/>
    <w:rsid w:val="74B21DF3"/>
    <w:rsid w:val="74C652C4"/>
    <w:rsid w:val="75183646"/>
    <w:rsid w:val="7530273D"/>
    <w:rsid w:val="75911E19"/>
    <w:rsid w:val="75B53949"/>
    <w:rsid w:val="75B570E6"/>
    <w:rsid w:val="75C8039D"/>
    <w:rsid w:val="75CD4430"/>
    <w:rsid w:val="75D752AF"/>
    <w:rsid w:val="760F2C9B"/>
    <w:rsid w:val="76287001"/>
    <w:rsid w:val="765B1A3C"/>
    <w:rsid w:val="76674885"/>
    <w:rsid w:val="767F6B9B"/>
    <w:rsid w:val="76946CFC"/>
    <w:rsid w:val="76A809F9"/>
    <w:rsid w:val="7730111A"/>
    <w:rsid w:val="77846D70"/>
    <w:rsid w:val="77D870BC"/>
    <w:rsid w:val="78A475DC"/>
    <w:rsid w:val="78AA57A0"/>
    <w:rsid w:val="78C540D1"/>
    <w:rsid w:val="79FF6B82"/>
    <w:rsid w:val="7A7C7771"/>
    <w:rsid w:val="7AB160CE"/>
    <w:rsid w:val="7AB4796D"/>
    <w:rsid w:val="7AD87AFF"/>
    <w:rsid w:val="7AEC7106"/>
    <w:rsid w:val="7AF72CD6"/>
    <w:rsid w:val="7AF91823"/>
    <w:rsid w:val="7B4231CA"/>
    <w:rsid w:val="7BDA78A7"/>
    <w:rsid w:val="7BE81FC4"/>
    <w:rsid w:val="7BEC3136"/>
    <w:rsid w:val="7C0B2CB2"/>
    <w:rsid w:val="7C296138"/>
    <w:rsid w:val="7C2A25DC"/>
    <w:rsid w:val="7C2B1EB0"/>
    <w:rsid w:val="7C4D62CB"/>
    <w:rsid w:val="7CDB7433"/>
    <w:rsid w:val="7CE46E89"/>
    <w:rsid w:val="7D0821F2"/>
    <w:rsid w:val="7D1F7C67"/>
    <w:rsid w:val="7D9B3066"/>
    <w:rsid w:val="7D9D6DDE"/>
    <w:rsid w:val="7DAF266D"/>
    <w:rsid w:val="7DBC2E36"/>
    <w:rsid w:val="7DC91981"/>
    <w:rsid w:val="7DF6029C"/>
    <w:rsid w:val="7EB73ECF"/>
    <w:rsid w:val="7EBE1BFD"/>
    <w:rsid w:val="7ED14F91"/>
    <w:rsid w:val="7EDC3936"/>
    <w:rsid w:val="7EEF71C5"/>
    <w:rsid w:val="7EFB18B5"/>
    <w:rsid w:val="7EFC681F"/>
    <w:rsid w:val="7F233313"/>
    <w:rsid w:val="7F5259A6"/>
    <w:rsid w:val="7F7122D0"/>
    <w:rsid w:val="7F905BEC"/>
    <w:rsid w:val="7F945FBF"/>
    <w:rsid w:val="7F98785D"/>
    <w:rsid w:val="7F9F6E3D"/>
    <w:rsid w:val="7FE707E4"/>
    <w:rsid w:val="7FEB20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897864"/>
    <w:pPr>
      <w:widowControl w:val="0"/>
      <w:jc w:val="both"/>
    </w:pPr>
    <w:rPr>
      <w:rFonts w:asciiTheme="minorHAnsi" w:eastAsiaTheme="minorEastAsia" w:hAnsiTheme="minorHAnsi" w:cstheme="minorBidi"/>
      <w:kern w:val="2"/>
      <w:sz w:val="21"/>
      <w:szCs w:val="24"/>
    </w:rPr>
  </w:style>
  <w:style w:type="paragraph" w:styleId="1">
    <w:name w:val="heading 1"/>
    <w:basedOn w:val="a"/>
    <w:next w:val="a"/>
    <w:autoRedefine/>
    <w:uiPriority w:val="99"/>
    <w:qFormat/>
    <w:rsid w:val="00897864"/>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qFormat/>
    <w:rsid w:val="00897864"/>
    <w:pPr>
      <w:jc w:val="left"/>
    </w:pPr>
  </w:style>
  <w:style w:type="paragraph" w:styleId="a4">
    <w:name w:val="Plain Text"/>
    <w:basedOn w:val="a"/>
    <w:autoRedefine/>
    <w:qFormat/>
    <w:rsid w:val="00897864"/>
    <w:rPr>
      <w:rFonts w:hAnsi="Courier New" w:cs="Courier New"/>
      <w:szCs w:val="21"/>
    </w:rPr>
  </w:style>
  <w:style w:type="paragraph" w:styleId="a5">
    <w:name w:val="Balloon Text"/>
    <w:basedOn w:val="a"/>
    <w:link w:val="Char0"/>
    <w:autoRedefine/>
    <w:qFormat/>
    <w:rsid w:val="00897864"/>
    <w:rPr>
      <w:sz w:val="18"/>
      <w:szCs w:val="18"/>
    </w:rPr>
  </w:style>
  <w:style w:type="paragraph" w:styleId="a6">
    <w:name w:val="footer"/>
    <w:basedOn w:val="a"/>
    <w:link w:val="Char1"/>
    <w:autoRedefine/>
    <w:qFormat/>
    <w:rsid w:val="00897864"/>
    <w:pPr>
      <w:tabs>
        <w:tab w:val="center" w:pos="4153"/>
        <w:tab w:val="right" w:pos="8306"/>
      </w:tabs>
      <w:snapToGrid w:val="0"/>
      <w:jc w:val="left"/>
    </w:pPr>
    <w:rPr>
      <w:sz w:val="18"/>
    </w:rPr>
  </w:style>
  <w:style w:type="paragraph" w:styleId="a7">
    <w:name w:val="header"/>
    <w:basedOn w:val="a"/>
    <w:autoRedefine/>
    <w:qFormat/>
    <w:rsid w:val="0089786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39"/>
    <w:unhideWhenUsed/>
    <w:qFormat/>
    <w:rsid w:val="00897864"/>
    <w:pPr>
      <w:widowControl/>
      <w:spacing w:after="100" w:line="259" w:lineRule="auto"/>
      <w:jc w:val="left"/>
    </w:pPr>
    <w:rPr>
      <w:rFonts w:cs="Times New Roman"/>
      <w:kern w:val="0"/>
      <w:sz w:val="22"/>
    </w:rPr>
  </w:style>
  <w:style w:type="paragraph" w:styleId="2">
    <w:name w:val="toc 2"/>
    <w:basedOn w:val="a"/>
    <w:next w:val="a"/>
    <w:autoRedefine/>
    <w:uiPriority w:val="39"/>
    <w:unhideWhenUsed/>
    <w:qFormat/>
    <w:rsid w:val="00897864"/>
    <w:pPr>
      <w:widowControl/>
      <w:spacing w:after="100" w:line="259" w:lineRule="auto"/>
      <w:ind w:left="220"/>
      <w:jc w:val="left"/>
    </w:pPr>
    <w:rPr>
      <w:rFonts w:cs="Times New Roman"/>
      <w:kern w:val="0"/>
      <w:sz w:val="22"/>
    </w:rPr>
  </w:style>
  <w:style w:type="paragraph" w:styleId="a8">
    <w:name w:val="Normal (Web)"/>
    <w:basedOn w:val="a"/>
    <w:autoRedefine/>
    <w:uiPriority w:val="99"/>
    <w:unhideWhenUsed/>
    <w:qFormat/>
    <w:rsid w:val="00897864"/>
    <w:pPr>
      <w:widowControl/>
      <w:spacing w:before="100" w:beforeAutospacing="1" w:after="100" w:afterAutospacing="1"/>
      <w:jc w:val="left"/>
    </w:pPr>
    <w:rPr>
      <w:rFonts w:ascii="宋体" w:eastAsia="宋体" w:hAnsi="宋体" w:cs="宋体"/>
      <w:kern w:val="0"/>
      <w:sz w:val="24"/>
    </w:rPr>
  </w:style>
  <w:style w:type="paragraph" w:styleId="a9">
    <w:name w:val="annotation subject"/>
    <w:basedOn w:val="a3"/>
    <w:next w:val="a3"/>
    <w:link w:val="Char2"/>
    <w:autoRedefine/>
    <w:qFormat/>
    <w:rsid w:val="00897864"/>
    <w:rPr>
      <w:b/>
      <w:bCs/>
    </w:rPr>
  </w:style>
  <w:style w:type="table" w:styleId="aa">
    <w:name w:val="Table Grid"/>
    <w:basedOn w:val="a1"/>
    <w:autoRedefine/>
    <w:uiPriority w:val="59"/>
    <w:qFormat/>
    <w:rsid w:val="0089786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annotation reference"/>
    <w:basedOn w:val="a0"/>
    <w:autoRedefine/>
    <w:qFormat/>
    <w:rsid w:val="00897864"/>
    <w:rPr>
      <w:sz w:val="21"/>
      <w:szCs w:val="21"/>
    </w:rPr>
  </w:style>
  <w:style w:type="paragraph" w:styleId="ac">
    <w:name w:val="List Paragraph"/>
    <w:basedOn w:val="a"/>
    <w:autoRedefine/>
    <w:uiPriority w:val="34"/>
    <w:qFormat/>
    <w:rsid w:val="00897864"/>
    <w:pPr>
      <w:ind w:firstLineChars="200" w:firstLine="420"/>
    </w:pPr>
  </w:style>
  <w:style w:type="character" w:customStyle="1" w:styleId="Char1">
    <w:name w:val="页脚 Char"/>
    <w:basedOn w:val="a0"/>
    <w:link w:val="a6"/>
    <w:autoRedefine/>
    <w:qFormat/>
    <w:rsid w:val="00897864"/>
    <w:rPr>
      <w:rFonts w:asciiTheme="minorHAnsi" w:eastAsiaTheme="minorEastAsia" w:hAnsiTheme="minorHAnsi" w:cstheme="minorBidi"/>
      <w:kern w:val="2"/>
      <w:sz w:val="18"/>
      <w:szCs w:val="24"/>
    </w:rPr>
  </w:style>
  <w:style w:type="character" w:customStyle="1" w:styleId="Char0">
    <w:name w:val="批注框文本 Char"/>
    <w:basedOn w:val="a0"/>
    <w:link w:val="a5"/>
    <w:autoRedefine/>
    <w:qFormat/>
    <w:rsid w:val="00897864"/>
    <w:rPr>
      <w:rFonts w:asciiTheme="minorHAnsi" w:eastAsiaTheme="minorEastAsia" w:hAnsiTheme="minorHAnsi" w:cstheme="minorBidi"/>
      <w:kern w:val="2"/>
      <w:sz w:val="18"/>
      <w:szCs w:val="18"/>
    </w:rPr>
  </w:style>
  <w:style w:type="character" w:customStyle="1" w:styleId="Char">
    <w:name w:val="批注文字 Char"/>
    <w:basedOn w:val="a0"/>
    <w:link w:val="a3"/>
    <w:autoRedefine/>
    <w:qFormat/>
    <w:rsid w:val="00897864"/>
    <w:rPr>
      <w:rFonts w:asciiTheme="minorHAnsi" w:eastAsiaTheme="minorEastAsia" w:hAnsiTheme="minorHAnsi" w:cstheme="minorBidi"/>
      <w:kern w:val="2"/>
      <w:sz w:val="21"/>
      <w:szCs w:val="24"/>
    </w:rPr>
  </w:style>
  <w:style w:type="character" w:customStyle="1" w:styleId="Char2">
    <w:name w:val="批注主题 Char"/>
    <w:basedOn w:val="Char"/>
    <w:link w:val="a9"/>
    <w:autoRedefine/>
    <w:qFormat/>
    <w:rsid w:val="00897864"/>
    <w:rPr>
      <w:rFonts w:asciiTheme="minorHAnsi" w:eastAsiaTheme="minorEastAsia" w:hAnsiTheme="minorHAnsi" w:cstheme="minorBidi"/>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1296F4-EC50-460B-9AED-CD7358354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1397</Words>
  <Characters>7964</Characters>
  <Application>Microsoft Office Word</Application>
  <DocSecurity>0</DocSecurity>
  <Lines>66</Lines>
  <Paragraphs>18</Paragraphs>
  <ScaleCrop>false</ScaleCrop>
  <Company/>
  <LinksUpToDate>false</LinksUpToDate>
  <CharactersWithSpaces>9343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木岭</dc:creator>
  <cp:lastModifiedBy>林威</cp:lastModifiedBy>
  <cp:revision>2</cp:revision>
  <cp:lastPrinted>2022-12-09T00:46:00Z</cp:lastPrinted>
  <dcterms:created xsi:type="dcterms:W3CDTF">2022-05-27T01:09:00Z</dcterms:created>
  <dcterms:modified xsi:type="dcterms:W3CDTF">2024-09-19T06:47:00Z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B538A513BBE544688F3071D2C9E9A628_13</vt:lpwstr>
  </property>
</Properties>
</file>