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7B60BA">
      <w:pPr>
        <w:widowControl/>
        <w:adjustRightInd w:val="0"/>
        <w:snapToGrid w:val="0"/>
        <w:spacing w:line="0" w:lineRule="atLeast"/>
        <w:jc w:val="center"/>
        <w:rPr>
          <w:rFonts w:ascii="Times New Roman" w:hAnsi="Times New Roman" w:eastAsia="方正小标宋_GBK"/>
          <w:b/>
          <w:color w:val="000000"/>
          <w:kern w:val="0"/>
          <w:sz w:val="36"/>
          <w:szCs w:val="36"/>
        </w:rPr>
      </w:pPr>
      <w:r>
        <w:rPr>
          <w:rFonts w:ascii="Times New Roman" w:hAnsi="Times New Roman" w:eastAsia="方正小标宋_GBK"/>
          <w:b/>
          <w:color w:val="000000"/>
          <w:kern w:val="0"/>
          <w:sz w:val="36"/>
          <w:szCs w:val="36"/>
        </w:rPr>
        <w:t xml:space="preserve"> 2024年度南京市城乡建设委员会 </w:t>
      </w:r>
    </w:p>
    <w:p w14:paraId="2B11A6D7">
      <w:pPr>
        <w:widowControl/>
        <w:adjustRightInd w:val="0"/>
        <w:snapToGrid w:val="0"/>
        <w:spacing w:line="0" w:lineRule="atLeast"/>
        <w:jc w:val="center"/>
        <w:rPr>
          <w:rFonts w:ascii="Times New Roman" w:hAnsi="Times New Roman" w:eastAsia="方正小标宋_GBK"/>
          <w:b/>
          <w:color w:val="000000"/>
          <w:kern w:val="0"/>
          <w:sz w:val="36"/>
          <w:szCs w:val="36"/>
        </w:rPr>
      </w:pPr>
      <w:r>
        <w:rPr>
          <w:rFonts w:ascii="Times New Roman" w:hAnsi="Times New Roman" w:eastAsia="方正小标宋_GBK"/>
          <w:b/>
          <w:color w:val="000000"/>
          <w:kern w:val="0"/>
          <w:sz w:val="36"/>
          <w:szCs w:val="36"/>
        </w:rPr>
        <w:t>--南京市建设工程消防审验服务中心</w:t>
      </w:r>
    </w:p>
    <w:p w14:paraId="1DBABB3B">
      <w:pPr>
        <w:widowControl/>
        <w:adjustRightInd w:val="0"/>
        <w:snapToGrid w:val="0"/>
        <w:spacing w:line="0" w:lineRule="atLeast"/>
        <w:jc w:val="center"/>
        <w:rPr>
          <w:rFonts w:ascii="Times New Roman" w:hAnsi="Times New Roman" w:eastAsia="方正小标宋_GBK"/>
          <w:b/>
          <w:color w:val="000000"/>
          <w:kern w:val="0"/>
          <w:sz w:val="36"/>
          <w:szCs w:val="36"/>
        </w:rPr>
      </w:pPr>
      <w:r>
        <w:rPr>
          <w:rFonts w:ascii="Times New Roman" w:hAnsi="Times New Roman" w:eastAsia="方正小标宋_GBK"/>
          <w:b/>
          <w:color w:val="000000"/>
          <w:kern w:val="0"/>
          <w:sz w:val="36"/>
          <w:szCs w:val="36"/>
        </w:rPr>
        <w:t>整体预算绩效自评价报告</w:t>
      </w:r>
    </w:p>
    <w:p w14:paraId="18A9A1C0">
      <w:pPr>
        <w:widowControl/>
        <w:adjustRightInd w:val="0"/>
        <w:snapToGrid w:val="0"/>
        <w:spacing w:line="0" w:lineRule="atLeast"/>
        <w:ind w:firstLine="1040" w:firstLineChars="200"/>
        <w:jc w:val="center"/>
        <w:rPr>
          <w:rFonts w:ascii="Times New Roman" w:hAnsi="Times New Roman" w:eastAsia="方正小标宋_GBK"/>
          <w:color w:val="000000"/>
          <w:kern w:val="0"/>
          <w:sz w:val="52"/>
          <w:szCs w:val="44"/>
        </w:rPr>
      </w:pPr>
    </w:p>
    <w:p w14:paraId="0AC8BDC0">
      <w:pPr>
        <w:adjustRightInd w:val="0"/>
        <w:snapToGrid w:val="0"/>
        <w:spacing w:line="600" w:lineRule="exact"/>
        <w:ind w:firstLine="640" w:firstLineChars="200"/>
        <w:rPr>
          <w:rFonts w:ascii="Times New Roman" w:hAnsi="Times New Roman" w:eastAsia="黑体"/>
          <w:bCs/>
          <w:sz w:val="32"/>
          <w:szCs w:val="32"/>
        </w:rPr>
      </w:pPr>
      <w:r>
        <w:rPr>
          <w:rFonts w:ascii="Times New Roman" w:hAnsi="Times New Roman" w:eastAsia="黑体"/>
          <w:bCs/>
          <w:sz w:val="32"/>
          <w:szCs w:val="32"/>
        </w:rPr>
        <w:t>一、部门概况</w:t>
      </w:r>
    </w:p>
    <w:p w14:paraId="6A16EF41">
      <w:pPr>
        <w:adjustRightInd w:val="0"/>
        <w:snapToGrid w:val="0"/>
        <w:spacing w:line="600" w:lineRule="exact"/>
        <w:ind w:firstLine="640" w:firstLineChars="200"/>
        <w:rPr>
          <w:rFonts w:ascii="Times New Roman" w:hAnsi="Times New Roman" w:eastAsia="仿宋"/>
          <w:sz w:val="32"/>
          <w:szCs w:val="32"/>
        </w:rPr>
      </w:pPr>
      <w:r>
        <w:rPr>
          <w:rFonts w:ascii="Times New Roman" w:hAnsi="Times New Roman" w:eastAsia="仿宋"/>
          <w:sz w:val="32"/>
          <w:szCs w:val="32"/>
        </w:rPr>
        <w:t>（一）基本情况</w:t>
      </w:r>
    </w:p>
    <w:p w14:paraId="3DD421F4">
      <w:pPr>
        <w:adjustRightInd w:val="0"/>
        <w:snapToGrid w:val="0"/>
        <w:spacing w:line="56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2020年4月，根据市编制委员</w:t>
      </w:r>
      <w:bookmarkStart w:id="0" w:name="_GoBack"/>
      <w:bookmarkEnd w:id="0"/>
      <w:r>
        <w:rPr>
          <w:rFonts w:ascii="Times New Roman" w:hAnsi="Times New Roman" w:eastAsia="方正仿宋_GBK"/>
          <w:sz w:val="32"/>
          <w:szCs w:val="32"/>
        </w:rPr>
        <w:t>会宁编办复〔2020〕12号，原南京市建筑安全生产监督站更名为南京市建设工程消防审验服务中心（以下简称“消防中心”），主要职能是承担建设工程消防设计审查验收相关技术性、辅助性工作。</w:t>
      </w:r>
    </w:p>
    <w:p w14:paraId="380007AF">
      <w:pPr>
        <w:adjustRightInd w:val="0"/>
        <w:snapToGrid w:val="0"/>
        <w:spacing w:line="560" w:lineRule="exact"/>
        <w:ind w:firstLine="640" w:firstLineChars="200"/>
        <w:rPr>
          <w:rFonts w:ascii="Times New Roman" w:hAnsi="Times New Roman" w:eastAsia="方正仿宋_GBK"/>
          <w:color w:val="000000" w:themeColor="text1"/>
          <w:kern w:val="16"/>
          <w:sz w:val="32"/>
          <w:szCs w:val="32"/>
        </w:rPr>
      </w:pPr>
      <w:r>
        <w:rPr>
          <w:rFonts w:ascii="Times New Roman" w:hAnsi="Times New Roman" w:eastAsia="方正仿宋_GBK"/>
          <w:sz w:val="32"/>
          <w:szCs w:val="32"/>
        </w:rPr>
        <w:t>2020年6月27日消防中心正式运行，截止到</w:t>
      </w:r>
      <w:r>
        <w:rPr>
          <w:rFonts w:ascii="Times New Roman" w:hAnsi="Times New Roman" w:eastAsia="方正仿宋_GBK"/>
          <w:color w:val="000000"/>
          <w:kern w:val="0"/>
          <w:sz w:val="32"/>
          <w:szCs w:val="32"/>
        </w:rPr>
        <w:t>2024年12月</w:t>
      </w:r>
      <w:r>
        <w:rPr>
          <w:rFonts w:ascii="Times New Roman" w:hAnsi="Times New Roman" w:eastAsia="方正仿宋_GBK"/>
          <w:sz w:val="32"/>
          <w:szCs w:val="32"/>
        </w:rPr>
        <w:t>31日，内设7个科室，核定事业编制38名，实有33名。</w:t>
      </w:r>
    </w:p>
    <w:p w14:paraId="4C1DCE31">
      <w:pPr>
        <w:spacing w:line="560" w:lineRule="exact"/>
        <w:ind w:firstLine="640" w:firstLineChars="200"/>
        <w:rPr>
          <w:rFonts w:ascii="Times New Roman" w:hAnsi="Times New Roman" w:eastAsia="仿宋"/>
          <w:sz w:val="32"/>
          <w:szCs w:val="32"/>
        </w:rPr>
      </w:pPr>
      <w:r>
        <w:rPr>
          <w:rFonts w:ascii="Times New Roman" w:hAnsi="Times New Roman" w:eastAsia="方正仿宋_GBK"/>
          <w:sz w:val="32"/>
          <w:szCs w:val="32"/>
        </w:rPr>
        <w:t>2024年消防中心的重点工作任务主要为：一是聚焦重点项目。密切关注社会发展过程中消防审验领域出现的新情况、新问题；持续做好交通、医疗、教育等民生重点工程及保交付工程项目的消防审验工作；及时化解项目急难愁盼问题，进一步推动项目落地达产。二是</w:t>
      </w:r>
      <w:r>
        <w:rPr>
          <w:rFonts w:ascii="Times New Roman" w:hAnsi="Times New Roman" w:eastAsia="方正仿宋_GBK"/>
          <w:sz w:val="32"/>
        </w:rPr>
        <w:t>建设标准链条。持续推进消防审验标准化建设，打造审验、执法、管理一体化的消防审验全覆盖模式。持续优化“宁小燕”智慧审验系统，开展人工智能辅助消防验收研究；加强内部管控，细化消防审验工作档案、资料、要件等的管理；统一标准尺度，依法依规开展行政执法工作；规范消防查验技术服务机构管理；加强制度建设和人才培养，总结一批可复制的经验供全市及其他地区使用。三是</w:t>
      </w:r>
      <w:r>
        <w:rPr>
          <w:rFonts w:ascii="Times New Roman" w:hAnsi="Times New Roman" w:eastAsia="方正仿宋_GBK"/>
          <w:sz w:val="32"/>
          <w:szCs w:val="32"/>
        </w:rPr>
        <w:t>开展课题研究。</w:t>
      </w:r>
      <w:r>
        <w:rPr>
          <w:rFonts w:ascii="Times New Roman" w:hAnsi="Times New Roman" w:eastAsia="方正仿宋_GBK"/>
          <w:sz w:val="32"/>
        </w:rPr>
        <w:t>做好各级课题研究，把握好新形势下消防审验技术未来发展趋势，将研究成果转化为消防审验高质量发展的强大动力。</w:t>
      </w:r>
    </w:p>
    <w:p w14:paraId="2B5A7804">
      <w:pPr>
        <w:widowControl/>
        <w:adjustRightInd w:val="0"/>
        <w:snapToGrid w:val="0"/>
        <w:spacing w:line="560" w:lineRule="exact"/>
        <w:ind w:firstLine="640" w:firstLineChars="200"/>
        <w:rPr>
          <w:rFonts w:ascii="Times New Roman" w:hAnsi="Times New Roman" w:eastAsia="仿宋"/>
          <w:color w:val="000000"/>
          <w:kern w:val="0"/>
          <w:sz w:val="32"/>
          <w:szCs w:val="32"/>
        </w:rPr>
      </w:pPr>
      <w:r>
        <w:rPr>
          <w:rFonts w:ascii="Times New Roman" w:hAnsi="Times New Roman" w:eastAsia="仿宋"/>
          <w:color w:val="000000"/>
          <w:kern w:val="0"/>
          <w:sz w:val="32"/>
          <w:szCs w:val="32"/>
        </w:rPr>
        <w:t>（二）部门收支情况</w:t>
      </w:r>
    </w:p>
    <w:p w14:paraId="37FCC204">
      <w:pPr>
        <w:widowControl/>
        <w:spacing w:line="560" w:lineRule="exact"/>
        <w:ind w:firstLine="640" w:firstLineChars="200"/>
        <w:rPr>
          <w:rFonts w:ascii="Times New Roman" w:hAnsi="Times New Roman" w:eastAsia="方正仿宋_GBK"/>
          <w:kern w:val="0"/>
          <w:sz w:val="32"/>
          <w:szCs w:val="32"/>
        </w:rPr>
      </w:pPr>
      <w:r>
        <w:rPr>
          <w:rFonts w:ascii="Times New Roman" w:hAnsi="Times New Roman" w:eastAsia="方正仿宋_GBK"/>
          <w:kern w:val="0"/>
          <w:sz w:val="32"/>
          <w:szCs w:val="32"/>
        </w:rPr>
        <w:t>2024年度部门收入1</w:t>
      </w:r>
      <w:r>
        <w:rPr>
          <w:rFonts w:hint="eastAsia" w:ascii="Times New Roman" w:hAnsi="Times New Roman" w:eastAsia="方正仿宋_GBK"/>
          <w:kern w:val="0"/>
          <w:sz w:val="32"/>
          <w:szCs w:val="32"/>
        </w:rPr>
        <w:t>507.27</w:t>
      </w:r>
      <w:r>
        <w:rPr>
          <w:rFonts w:ascii="Times New Roman" w:hAnsi="Times New Roman" w:eastAsia="方正仿宋_GBK"/>
          <w:kern w:val="0"/>
          <w:sz w:val="32"/>
          <w:szCs w:val="32"/>
        </w:rPr>
        <w:t>万元，其中：一般公共预算财政拨款收入</w:t>
      </w:r>
      <w:r>
        <w:rPr>
          <w:rFonts w:hint="eastAsia" w:ascii="Times New Roman" w:hAnsi="Times New Roman" w:eastAsia="方正仿宋_GBK"/>
          <w:kern w:val="0"/>
          <w:sz w:val="32"/>
          <w:szCs w:val="32"/>
        </w:rPr>
        <w:t>1507.27</w:t>
      </w:r>
      <w:r>
        <w:rPr>
          <w:rFonts w:ascii="Times New Roman" w:hAnsi="Times New Roman" w:eastAsia="方正仿宋_GBK"/>
          <w:kern w:val="0"/>
          <w:sz w:val="32"/>
          <w:szCs w:val="32"/>
        </w:rPr>
        <w:t>万元。部门预算支出</w:t>
      </w:r>
      <w:r>
        <w:rPr>
          <w:rFonts w:hint="eastAsia" w:ascii="Times New Roman" w:hAnsi="Times New Roman" w:eastAsia="方正仿宋_GBK"/>
          <w:kern w:val="0"/>
          <w:sz w:val="32"/>
          <w:szCs w:val="32"/>
        </w:rPr>
        <w:t>1507.27</w:t>
      </w:r>
      <w:r>
        <w:rPr>
          <w:rFonts w:ascii="Times New Roman" w:hAnsi="Times New Roman" w:eastAsia="方正仿宋_GBK"/>
          <w:kern w:val="0"/>
          <w:sz w:val="32"/>
          <w:szCs w:val="32"/>
        </w:rPr>
        <w:t>万元，其中:基本支出</w:t>
      </w:r>
      <w:r>
        <w:rPr>
          <w:rFonts w:hint="eastAsia" w:ascii="Times New Roman" w:hAnsi="Times New Roman" w:eastAsia="方正仿宋_GBK"/>
          <w:kern w:val="0"/>
          <w:sz w:val="32"/>
          <w:szCs w:val="32"/>
        </w:rPr>
        <w:t>1229.64</w:t>
      </w:r>
      <w:r>
        <w:rPr>
          <w:rFonts w:ascii="Times New Roman" w:hAnsi="Times New Roman" w:eastAsia="方正仿宋_GBK"/>
          <w:kern w:val="0"/>
          <w:sz w:val="32"/>
          <w:szCs w:val="32"/>
        </w:rPr>
        <w:t>万元，项目支出</w:t>
      </w:r>
      <w:r>
        <w:rPr>
          <w:rFonts w:hint="eastAsia" w:ascii="Times New Roman" w:hAnsi="Times New Roman" w:eastAsia="方正仿宋_GBK"/>
          <w:kern w:val="0"/>
          <w:sz w:val="32"/>
          <w:szCs w:val="32"/>
        </w:rPr>
        <w:t>277.63</w:t>
      </w:r>
      <w:r>
        <w:rPr>
          <w:rFonts w:ascii="Times New Roman" w:hAnsi="Times New Roman" w:eastAsia="方正仿宋_GBK"/>
          <w:kern w:val="0"/>
          <w:sz w:val="32"/>
          <w:szCs w:val="32"/>
        </w:rPr>
        <w:t>万元。</w:t>
      </w:r>
    </w:p>
    <w:p w14:paraId="1282970B">
      <w:pPr>
        <w:widowControl/>
        <w:adjustRightInd w:val="0"/>
        <w:snapToGrid w:val="0"/>
        <w:spacing w:line="560" w:lineRule="exact"/>
        <w:ind w:firstLine="640" w:firstLineChars="200"/>
        <w:rPr>
          <w:rFonts w:ascii="Times New Roman" w:hAnsi="Times New Roman" w:eastAsia="仿宋"/>
          <w:color w:val="000000"/>
          <w:kern w:val="0"/>
          <w:sz w:val="32"/>
          <w:szCs w:val="32"/>
        </w:rPr>
      </w:pPr>
      <w:r>
        <w:rPr>
          <w:rFonts w:ascii="Times New Roman" w:hAnsi="Times New Roman" w:eastAsia="仿宋"/>
          <w:color w:val="000000"/>
          <w:kern w:val="0"/>
          <w:sz w:val="32"/>
          <w:szCs w:val="32"/>
        </w:rPr>
        <w:t>（三）部门绩效目标</w:t>
      </w:r>
    </w:p>
    <w:p w14:paraId="26C2D652">
      <w:pPr>
        <w:spacing w:line="560" w:lineRule="exact"/>
        <w:ind w:firstLine="640" w:firstLineChars="200"/>
        <w:rPr>
          <w:rFonts w:ascii="Times New Roman" w:hAnsi="Times New Roman" w:eastAsia="方正仿宋_GBK"/>
          <w:sz w:val="32"/>
          <w:szCs w:val="32"/>
        </w:rPr>
      </w:pPr>
      <w:r>
        <w:rPr>
          <w:rFonts w:ascii="Times New Roman" w:hAnsi="Times New Roman" w:eastAsia="方正仿宋_GBK"/>
          <w:bCs/>
          <w:sz w:val="32"/>
          <w:szCs w:val="32"/>
        </w:rPr>
        <w:t>中长期目标：</w:t>
      </w:r>
      <w:r>
        <w:rPr>
          <w:rFonts w:ascii="Times New Roman" w:hAnsi="Times New Roman" w:eastAsia="方正仿宋_GBK"/>
          <w:sz w:val="32"/>
          <w:szCs w:val="32"/>
        </w:rPr>
        <w:t>1、制定和出台相应的规章制度，细化各项配套制度和标准，强化组织建设和人才培养，大力提升消防审验的专业化水平；2、技术服务与审验监管并重，持续打造消防审验新模式，不断提升建设工程消防审验的规范性，建立一个公正、透明、高效的消防审验服务体系；3、持续提升系统思维，加强信息化、数字化在消防审验工作中的应用，构建适应高质量发展的消防审验智慧平台；4、健全监管体系，强力推动企业落实消防安全主体责任，共同提升消防审验工作质效，构建上下联动、齐抓共管的工作格局；5、加强课题前沿研究，力争形成更多经验成果，为下一步消防审验工作提供数据支撑和方向指导。</w:t>
      </w:r>
    </w:p>
    <w:p w14:paraId="0C596E1E">
      <w:pPr>
        <w:spacing w:line="560" w:lineRule="exact"/>
        <w:ind w:firstLine="640" w:firstLineChars="200"/>
        <w:rPr>
          <w:rFonts w:ascii="Times New Roman" w:hAnsi="Times New Roman" w:eastAsia="方正仿宋_GBK"/>
          <w:sz w:val="32"/>
          <w:szCs w:val="32"/>
        </w:rPr>
      </w:pPr>
      <w:r>
        <w:rPr>
          <w:rFonts w:ascii="Times New Roman" w:hAnsi="Times New Roman" w:eastAsia="方正仿宋_GBK"/>
          <w:bCs/>
          <w:sz w:val="32"/>
          <w:szCs w:val="32"/>
        </w:rPr>
        <w:t>年度目标：</w:t>
      </w:r>
      <w:r>
        <w:rPr>
          <w:rFonts w:ascii="Times New Roman" w:hAnsi="Times New Roman" w:eastAsia="方正仿宋_GBK"/>
          <w:sz w:val="32"/>
          <w:szCs w:val="32"/>
        </w:rPr>
        <w:t>1、深入学习习近平新时代中国特色社会主义思想，思想引领，党建固基，业务推进；2、着力风险防控，着眼改革创新，提升建设工程消防审验质效；3、服务与审验监管并重，不断营造建设工程消防审验工作良好氛围；4、持续改进工作作风，锻造“政治过硬、业务过硬、责任过硬、纪律过硬、作风过硬”消防审验人才队伍。</w:t>
      </w:r>
    </w:p>
    <w:p w14:paraId="79A7DA12">
      <w:pPr>
        <w:adjustRightInd w:val="0"/>
        <w:snapToGrid w:val="0"/>
        <w:spacing w:line="560" w:lineRule="exact"/>
        <w:ind w:firstLine="640" w:firstLineChars="200"/>
        <w:rPr>
          <w:rFonts w:ascii="Times New Roman" w:hAnsi="Times New Roman" w:eastAsia="黑体"/>
          <w:bCs/>
          <w:sz w:val="32"/>
          <w:szCs w:val="32"/>
        </w:rPr>
      </w:pPr>
      <w:r>
        <w:rPr>
          <w:rFonts w:ascii="Times New Roman" w:hAnsi="Times New Roman" w:eastAsia="黑体"/>
          <w:bCs/>
          <w:sz w:val="32"/>
          <w:szCs w:val="32"/>
        </w:rPr>
        <w:t>二、评价结论</w:t>
      </w:r>
    </w:p>
    <w:p w14:paraId="23482D73">
      <w:pPr>
        <w:widowControl/>
        <w:adjustRightInd w:val="0"/>
        <w:snapToGrid w:val="0"/>
        <w:spacing w:line="560" w:lineRule="exact"/>
        <w:ind w:firstLine="640" w:firstLineChars="200"/>
        <w:rPr>
          <w:rFonts w:ascii="Times New Roman" w:hAnsi="Times New Roman" w:eastAsia="仿宋"/>
          <w:kern w:val="0"/>
          <w:sz w:val="32"/>
          <w:szCs w:val="32"/>
        </w:rPr>
      </w:pPr>
      <w:r>
        <w:rPr>
          <w:rFonts w:ascii="Times New Roman" w:hAnsi="Times New Roman" w:eastAsia="仿宋"/>
          <w:kern w:val="0"/>
          <w:sz w:val="32"/>
          <w:szCs w:val="32"/>
        </w:rPr>
        <w:t>本次绩效评价依据市财政局有关文件等相关规定，紧密联系中心实际，运用评价体系及评分标准，设置了5个一级指标、20个二级指标、42个三级指标体系；同时结合中心年度工作计划、财务账表数据、部门履职情况、市级考核情况等方式，整理数据、分析汇总，对我中心整体绩效进行严格认真地自我评价，绩效综合评分99分，绩效自评等级为“优秀”。</w:t>
      </w:r>
    </w:p>
    <w:p w14:paraId="26B83985">
      <w:pPr>
        <w:numPr>
          <w:ilvl w:val="0"/>
          <w:numId w:val="1"/>
        </w:numPr>
        <w:adjustRightInd w:val="0"/>
        <w:snapToGrid w:val="0"/>
        <w:spacing w:line="560" w:lineRule="exact"/>
        <w:ind w:firstLine="640" w:firstLineChars="200"/>
        <w:rPr>
          <w:rFonts w:ascii="Times New Roman" w:hAnsi="Times New Roman" w:eastAsia="黑体"/>
          <w:bCs/>
          <w:sz w:val="32"/>
          <w:szCs w:val="32"/>
        </w:rPr>
      </w:pPr>
      <w:r>
        <w:rPr>
          <w:rFonts w:ascii="Times New Roman" w:hAnsi="Times New Roman" w:eastAsia="黑体"/>
          <w:bCs/>
          <w:sz w:val="32"/>
          <w:szCs w:val="32"/>
        </w:rPr>
        <w:t>部门履职成效</w:t>
      </w:r>
    </w:p>
    <w:p w14:paraId="28A4E4EC">
      <w:pPr>
        <w:spacing w:line="560" w:lineRule="exact"/>
        <w:ind w:firstLine="640" w:firstLineChars="200"/>
        <w:rPr>
          <w:rFonts w:ascii="Times New Roman" w:hAnsi="Times New Roman" w:eastAsia="方正楷体_GBK"/>
          <w:sz w:val="32"/>
          <w:szCs w:val="32"/>
        </w:rPr>
      </w:pPr>
      <w:r>
        <w:rPr>
          <w:rFonts w:ascii="Times New Roman" w:hAnsi="Times New Roman" w:eastAsia="方正楷体_GBK"/>
          <w:sz w:val="32"/>
          <w:szCs w:val="32"/>
        </w:rPr>
        <w:t xml:space="preserve">（一）坚持“一核引领”，筑牢支部坚强堡垒 </w:t>
      </w:r>
    </w:p>
    <w:p w14:paraId="0D93F299">
      <w:pPr>
        <w:spacing w:line="560" w:lineRule="exact"/>
        <w:ind w:firstLine="643" w:firstLineChars="200"/>
        <w:rPr>
          <w:rFonts w:ascii="Times New Roman" w:hAnsi="Times New Roman" w:eastAsia="方正仿宋_GBK"/>
          <w:sz w:val="32"/>
          <w:szCs w:val="32"/>
        </w:rPr>
      </w:pPr>
      <w:r>
        <w:rPr>
          <w:rFonts w:ascii="Times New Roman" w:hAnsi="Times New Roman" w:eastAsia="方正仿宋_GBK"/>
          <w:b/>
          <w:bCs/>
          <w:sz w:val="32"/>
          <w:szCs w:val="32"/>
        </w:rPr>
        <w:t>一是深化支部标准建设。</w:t>
      </w:r>
      <w:r>
        <w:rPr>
          <w:rFonts w:ascii="Times New Roman" w:hAnsi="Times New Roman" w:eastAsia="方正仿宋_GBK"/>
          <w:sz w:val="32"/>
          <w:szCs w:val="32"/>
        </w:rPr>
        <w:t>严格落实党支部工作基本制度， 开展党小组学习10次，支部党员大会3次，中心组理论学习12次，支委会10次，党课4次，民主评议1次；常态化开展党史学习教育，贯彻落实党的二十届三中全会精神，深入开展党纪学习教育，制定中心党纪学习教育学习计划，开设党纪学习教育读书班，逐章逐条学习党纪条例，充分运用警示教育，每位党员结合典型案例查摆自身不足，谈改进方向。</w:t>
      </w:r>
    </w:p>
    <w:p w14:paraId="4821DDF6">
      <w:pPr>
        <w:pStyle w:val="6"/>
        <w:widowControl/>
        <w:spacing w:beforeAutospacing="0" w:afterAutospacing="0" w:line="560" w:lineRule="exact"/>
        <w:ind w:firstLine="643" w:firstLineChars="200"/>
        <w:jc w:val="both"/>
        <w:rPr>
          <w:rFonts w:ascii="Times New Roman" w:hAnsi="Times New Roman" w:eastAsia="方正仿宋_GBK"/>
          <w:sz w:val="32"/>
          <w:szCs w:val="32"/>
        </w:rPr>
      </w:pPr>
      <w:r>
        <w:rPr>
          <w:rFonts w:ascii="Times New Roman" w:hAnsi="Times New Roman" w:eastAsia="方正仿宋_GBK"/>
          <w:b/>
          <w:bCs/>
          <w:sz w:val="32"/>
          <w:szCs w:val="32"/>
        </w:rPr>
        <w:t>二是创新开展专项活动。</w:t>
      </w:r>
      <w:r>
        <w:rPr>
          <w:rFonts w:ascii="Times New Roman" w:hAnsi="Times New Roman" w:eastAsia="方正仿宋_GBK"/>
          <w:sz w:val="32"/>
          <w:szCs w:val="32"/>
        </w:rPr>
        <w:t>为推动消防审验工作高质量发展，3月至7月，中心支部开展“三坚持 三提升”专项活动，以“学、做、谈、评”四方面举措为抓手，通过开展理论学习、专业技术培训、职场人际关系和沟通技巧讲座、谈心谈话、征集企业回访意见、制定科室和个人提升清单、切实解决民生难题、组织业务骨干轮岗等实际举措，</w:t>
      </w:r>
      <w:r>
        <w:rPr>
          <w:rStyle w:val="9"/>
          <w:rFonts w:ascii="Times New Roman" w:hAnsi="Times New Roman" w:eastAsia="方正仿宋_GBK"/>
          <w:b w:val="0"/>
          <w:sz w:val="32"/>
          <w:szCs w:val="32"/>
          <w:shd w:val="clear" w:color="auto" w:fill="FFFFFF"/>
        </w:rPr>
        <w:t>在推动以学正风、健全制度机制、多措并举升能力、监督管理机构等方面精准发力，</w:t>
      </w:r>
      <w:r>
        <w:rPr>
          <w:rFonts w:ascii="Times New Roman" w:hAnsi="Times New Roman" w:eastAsia="方正仿宋_GBK"/>
          <w:sz w:val="32"/>
          <w:szCs w:val="32"/>
        </w:rPr>
        <w:t>促进全体人员坚持初心使命，提升作风水平，坚持真抓实干，提升工作质效，坚持底线思维，提升廉洁修养。</w:t>
      </w:r>
    </w:p>
    <w:p w14:paraId="230C76B2">
      <w:pPr>
        <w:spacing w:line="560" w:lineRule="exact"/>
        <w:ind w:firstLine="643" w:firstLineChars="200"/>
        <w:rPr>
          <w:rFonts w:ascii="Times New Roman" w:hAnsi="Times New Roman" w:eastAsia="方正仿宋_GBK"/>
          <w:sz w:val="32"/>
          <w:szCs w:val="32"/>
        </w:rPr>
      </w:pPr>
      <w:r>
        <w:rPr>
          <w:rFonts w:ascii="Times New Roman" w:hAnsi="Times New Roman" w:eastAsia="方正仿宋_GBK"/>
          <w:b/>
          <w:bCs/>
          <w:sz w:val="32"/>
          <w:szCs w:val="32"/>
        </w:rPr>
        <w:t>三是推进党建品牌建设。</w:t>
      </w:r>
      <w:r>
        <w:rPr>
          <w:rFonts w:ascii="Times New Roman" w:hAnsi="Times New Roman" w:eastAsia="方正仿宋_GBK"/>
          <w:sz w:val="32"/>
          <w:szCs w:val="32"/>
        </w:rPr>
        <w:t>持续深化中心“宁小燕”党建品牌“为您消验·卫宁笑颜”品牌内涵，立足</w:t>
      </w:r>
      <w:r>
        <w:rPr>
          <w:rStyle w:val="9"/>
          <w:rFonts w:ascii="Times New Roman" w:hAnsi="Times New Roman" w:eastAsia="方正仿宋_GBK"/>
          <w:b w:val="0"/>
          <w:bCs/>
          <w:sz w:val="32"/>
          <w:szCs w:val="32"/>
          <w:shd w:val="clear" w:color="auto" w:fill="FFFFFF"/>
        </w:rPr>
        <w:t>“省—市—企”三级党建共建平台，</w:t>
      </w:r>
      <w:r>
        <w:rPr>
          <w:rFonts w:ascii="Times New Roman" w:hAnsi="Times New Roman" w:eastAsia="方正仿宋_GBK"/>
          <w:sz w:val="32"/>
          <w:szCs w:val="32"/>
        </w:rPr>
        <w:t>与省住建厅消防处、市建委消防处开展省市共学共建，赴中国科举博物馆开展廉政教育；组织全体党员前往南京国防园开展主题党日，强化支部凝聚力战斗力；积极参加城建先锋党建联盟活动，确定“一老一小”活动场所消防审验技术调研方向，开展聚焦“四下基层”摸实情党建调研活动，在调查研究中践行为民服务的初心使命。</w:t>
      </w:r>
    </w:p>
    <w:p w14:paraId="6604C215">
      <w:pPr>
        <w:spacing w:line="560" w:lineRule="exact"/>
        <w:ind w:firstLine="643" w:firstLineChars="200"/>
        <w:rPr>
          <w:rFonts w:ascii="Times New Roman" w:hAnsi="Times New Roman" w:eastAsia="方正仿宋_GBK"/>
          <w:sz w:val="32"/>
          <w:szCs w:val="32"/>
        </w:rPr>
      </w:pPr>
      <w:r>
        <w:rPr>
          <w:rFonts w:ascii="Times New Roman" w:hAnsi="Times New Roman" w:eastAsia="方正仿宋_GBK"/>
          <w:b/>
          <w:bCs/>
          <w:sz w:val="32"/>
          <w:szCs w:val="32"/>
        </w:rPr>
        <w:t>四是深入落实党风廉政。</w:t>
      </w:r>
      <w:r>
        <w:rPr>
          <w:rFonts w:ascii="Times New Roman" w:hAnsi="Times New Roman" w:eastAsia="方正仿宋_GBK"/>
          <w:sz w:val="32"/>
          <w:szCs w:val="32"/>
        </w:rPr>
        <w:t>中心结合党纪学习教育，驰而不息开展全面从严治党，紧抓作风建设。制定廉政课堂学习计划10份、召开节前警示教育大会3次，集中学习警示教育案例2次、观看警示教育片1次、线下参观警示教育基地1次，</w:t>
      </w:r>
      <w:r>
        <w:rPr>
          <w:rFonts w:ascii="Times New Roman" w:hAnsi="Times New Roman" w:eastAsia="方正仿宋_GBK"/>
          <w:sz w:val="32"/>
        </w:rPr>
        <w:t>创新制作并发放家庭助廉“十必问”提醒卡和《给全体职工家属的一封信》，组织全体工作人员签订个人廉政承诺书44份，</w:t>
      </w:r>
      <w:r>
        <w:rPr>
          <w:rFonts w:ascii="Times New Roman" w:hAnsi="Times New Roman" w:eastAsia="方正仿宋_GBK"/>
          <w:sz w:val="32"/>
          <w:szCs w:val="32"/>
        </w:rPr>
        <w:t>筑牢廉政思想防线；排查梳理廉政风险点22个方面，54个具体点位，制定防控措施70条；出台中心全面从严治党工作要点及主体责任清单，扎紧廉政制度篱笆。</w:t>
      </w:r>
    </w:p>
    <w:p w14:paraId="7C78C294">
      <w:pPr>
        <w:spacing w:line="560" w:lineRule="exact"/>
        <w:ind w:firstLine="643" w:firstLineChars="200"/>
        <w:rPr>
          <w:rFonts w:ascii="Times New Roman" w:hAnsi="Times New Roman" w:eastAsia="方正仿宋_GBK"/>
          <w:sz w:val="32"/>
          <w:szCs w:val="32"/>
        </w:rPr>
      </w:pPr>
      <w:r>
        <w:rPr>
          <w:rFonts w:ascii="Times New Roman" w:hAnsi="Times New Roman" w:eastAsia="方正仿宋_GBK"/>
          <w:b/>
          <w:bCs/>
          <w:sz w:val="32"/>
          <w:szCs w:val="32"/>
        </w:rPr>
        <w:t>五是强化意识形态工作。</w:t>
      </w:r>
      <w:r>
        <w:rPr>
          <w:rFonts w:ascii="Times New Roman" w:hAnsi="Times New Roman" w:eastAsia="方正仿宋_GBK"/>
          <w:sz w:val="32"/>
          <w:szCs w:val="32"/>
        </w:rPr>
        <w:t>支委会每半年部署研判意识形态工作1次，排查意识形态风险隐患2次，根据人员分工及时调整意识形态专兼职工作队伍；加大宣传力度，共发布宣传稿件28篇，接受南京日报、紫金山APP等媒体转载报道，有力宣传了中心消防审验人的作风形象。</w:t>
      </w:r>
    </w:p>
    <w:p w14:paraId="2C16961C">
      <w:pPr>
        <w:spacing w:line="560" w:lineRule="exact"/>
        <w:ind w:firstLine="640" w:firstLineChars="200"/>
        <w:rPr>
          <w:rFonts w:ascii="Times New Roman" w:hAnsi="Times New Roman" w:eastAsia="方正楷体_GBK"/>
          <w:sz w:val="32"/>
          <w:szCs w:val="32"/>
        </w:rPr>
      </w:pPr>
      <w:r>
        <w:rPr>
          <w:rFonts w:ascii="Times New Roman" w:hAnsi="Times New Roman" w:eastAsia="方正楷体_GBK"/>
          <w:sz w:val="32"/>
          <w:szCs w:val="32"/>
        </w:rPr>
        <w:t xml:space="preserve">（二）扩大“两个覆盖”，保障民生经济发展 </w:t>
      </w:r>
    </w:p>
    <w:p w14:paraId="42976E3C">
      <w:pPr>
        <w:spacing w:line="560" w:lineRule="exact"/>
        <w:ind w:firstLine="643" w:firstLineChars="200"/>
        <w:rPr>
          <w:rFonts w:ascii="Times New Roman" w:hAnsi="Times New Roman" w:eastAsia="方正仿宋_GBK"/>
          <w:sz w:val="32"/>
          <w:szCs w:val="32"/>
        </w:rPr>
      </w:pPr>
      <w:r>
        <w:rPr>
          <w:rFonts w:ascii="Times New Roman" w:hAnsi="Times New Roman" w:eastAsia="方正仿宋_GBK"/>
          <w:b/>
          <w:bCs/>
          <w:sz w:val="32"/>
          <w:szCs w:val="32"/>
        </w:rPr>
        <w:t>一是优化营商经济环境。</w:t>
      </w:r>
      <w:r>
        <w:rPr>
          <w:rFonts w:ascii="Times New Roman" w:hAnsi="Times New Roman" w:eastAsia="方正仿宋_GBK"/>
          <w:sz w:val="32"/>
          <w:szCs w:val="32"/>
        </w:rPr>
        <w:t>立足“一站式”服务平台，</w:t>
      </w:r>
      <w:r>
        <w:rPr>
          <w:rFonts w:ascii="Times New Roman" w:hAnsi="Times New Roman" w:eastAsia="方正仿宋_GBK"/>
          <w:sz w:val="32"/>
          <w:szCs w:val="24"/>
        </w:rPr>
        <w:t>围绕项目实际需求和困难，</w:t>
      </w:r>
      <w:r>
        <w:rPr>
          <w:rFonts w:ascii="Times New Roman" w:hAnsi="Times New Roman" w:eastAsia="方正仿宋_GBK"/>
          <w:sz w:val="32"/>
          <w:szCs w:val="32"/>
        </w:rPr>
        <w:t>提供咨询服务千余次，依托“挂起”、“分批报审同步验收”、“一次报审分批验收”、“工程竣工联合验收”等惠企政策，助力雨花华润万象天地、小米集团华东总部、南京世界贸易中心、河西金融城、中南璞境、泰康（南京）养老社区等项目提前交付投用，切实解决了新兴发展集团中华城（京东MALL）、阿里巴巴江苏总部等项目的实际难题，帮助一批企业取得良好收益，促进经济健康发展。</w:t>
      </w:r>
    </w:p>
    <w:p w14:paraId="15871260">
      <w:pPr>
        <w:spacing w:line="560" w:lineRule="exact"/>
        <w:ind w:firstLine="643" w:firstLineChars="200"/>
        <w:rPr>
          <w:rFonts w:ascii="Times New Roman" w:hAnsi="Times New Roman" w:eastAsia="方正仿宋_GBK"/>
          <w:sz w:val="32"/>
          <w:szCs w:val="32"/>
        </w:rPr>
      </w:pPr>
      <w:r>
        <w:rPr>
          <w:rFonts w:ascii="Times New Roman" w:hAnsi="Times New Roman" w:eastAsia="方正仿宋_GBK"/>
          <w:b/>
          <w:bCs/>
          <w:sz w:val="32"/>
          <w:szCs w:val="32"/>
        </w:rPr>
        <w:t>二是服务保障民生福祉。</w:t>
      </w:r>
      <w:r>
        <w:rPr>
          <w:rFonts w:ascii="Times New Roman" w:hAnsi="Times New Roman" w:eastAsia="方正仿宋_GBK"/>
          <w:sz w:val="32"/>
          <w:szCs w:val="32"/>
        </w:rPr>
        <w:t>中心持续优化审验服务，持续推行发放合规指导书、验收备案实施低风险项目简易审批、优化消防验收抽取规则等；围绕项目实际需求和困难提前介入，力争问题在申报验收前就得到解决，帮助项目早投用达效，共开展提前技术服务23次，帮助南京晓庄学院、尤家凹九年一贯制学校、南京地铁五号线、建宁西路过江通道、南京市妇幼保健院丁家庄院区、南医大口腔医院等民生项目解决实际难题，受到企业及群众的普遍好评，共收到群众锦旗11面，感谢信8封。</w:t>
      </w:r>
    </w:p>
    <w:p w14:paraId="205E9591">
      <w:pPr>
        <w:spacing w:line="560" w:lineRule="exact"/>
        <w:ind w:firstLine="643" w:firstLineChars="200"/>
        <w:rPr>
          <w:rFonts w:ascii="Times New Roman" w:hAnsi="Times New Roman" w:eastAsia="方正仿宋_GBK"/>
          <w:sz w:val="32"/>
          <w:szCs w:val="32"/>
        </w:rPr>
      </w:pPr>
      <w:r>
        <w:rPr>
          <w:rFonts w:ascii="Times New Roman" w:hAnsi="Times New Roman" w:eastAsia="方正仿宋_GBK"/>
          <w:b/>
          <w:bCs/>
          <w:sz w:val="32"/>
          <w:szCs w:val="32"/>
        </w:rPr>
        <w:t>三是持续提升审验质效。</w:t>
      </w:r>
      <w:r>
        <w:rPr>
          <w:rFonts w:ascii="Times New Roman" w:hAnsi="Times New Roman" w:eastAsia="方正仿宋_GBK"/>
          <w:sz w:val="32"/>
          <w:szCs w:val="32"/>
        </w:rPr>
        <w:t>为帮助项目早日解决审验过程中的问题和困难，加快审批速度，促进社会事业发展，中心持续研究提升消防审验服务质效。严格落实参建各方主体责任，落实项目过程质量管理，提升消防本质安全水平；积极推进消防审验与既有基本建设程序深度融合，形成全周期、全链条消防监管体系；对重大项目提前技术服务和消防验收制度进行优化，进一步加强服务和验收管理衔接。</w:t>
      </w:r>
    </w:p>
    <w:p w14:paraId="33135874">
      <w:pPr>
        <w:spacing w:line="560" w:lineRule="exact"/>
        <w:ind w:firstLine="640" w:firstLineChars="200"/>
        <w:rPr>
          <w:rFonts w:ascii="Times New Roman" w:hAnsi="Times New Roman" w:eastAsia="方正楷体_GBK"/>
          <w:sz w:val="32"/>
          <w:szCs w:val="32"/>
        </w:rPr>
      </w:pPr>
      <w:r>
        <w:rPr>
          <w:rFonts w:ascii="Times New Roman" w:hAnsi="Times New Roman" w:eastAsia="方正楷体_GBK"/>
          <w:sz w:val="32"/>
          <w:szCs w:val="32"/>
        </w:rPr>
        <w:t xml:space="preserve">（三）把准“三个方向”，提升队伍内功修养 </w:t>
      </w:r>
    </w:p>
    <w:p w14:paraId="134ADA13">
      <w:pPr>
        <w:spacing w:line="560" w:lineRule="exact"/>
        <w:ind w:firstLine="643" w:firstLineChars="200"/>
        <w:rPr>
          <w:rFonts w:ascii="Times New Roman" w:hAnsi="Times New Roman" w:eastAsia="方正仿宋_GBK"/>
          <w:sz w:val="32"/>
          <w:szCs w:val="32"/>
        </w:rPr>
      </w:pPr>
      <w:r>
        <w:rPr>
          <w:rFonts w:ascii="Times New Roman" w:hAnsi="Times New Roman" w:eastAsia="方正仿宋_GBK"/>
          <w:b/>
          <w:bCs/>
          <w:sz w:val="32"/>
          <w:szCs w:val="32"/>
        </w:rPr>
        <w:t>一是提升审验队伍能力水平。</w:t>
      </w:r>
      <w:r>
        <w:rPr>
          <w:rFonts w:ascii="Times New Roman" w:hAnsi="Times New Roman" w:eastAsia="方正仿宋_GBK"/>
          <w:sz w:val="32"/>
          <w:szCs w:val="32"/>
        </w:rPr>
        <w:t>组织开展科级干部及全体人员务虚会2次、全市消防审验春训、秋训等业务培训4次，通过内部交流研讨、外聘专家讲解、组织外出学习等，及时更新人员知识结构，不断提升全体工作人员的专业审验能力。选派一线同志参加市级工作专班，聚焦保障性住房消防隐患专项整治和高层建筑消防隐患“全链条”治理专项工作任务，结合消防审验工作实际，统筹协调攻坚克难，在推进各项任务落实落细顺利高效开展的同时，人员政治站位、眼界格局、牵头抓总等能力也进一步得到锻炼和提升。</w:t>
      </w:r>
    </w:p>
    <w:p w14:paraId="6F6E31AD">
      <w:pPr>
        <w:spacing w:line="560" w:lineRule="exact"/>
        <w:ind w:firstLine="643" w:firstLineChars="200"/>
        <w:rPr>
          <w:rFonts w:ascii="Times New Roman" w:hAnsi="Times New Roman" w:eastAsia="方正仿宋_GBK"/>
          <w:sz w:val="32"/>
          <w:szCs w:val="32"/>
        </w:rPr>
      </w:pPr>
      <w:r>
        <w:rPr>
          <w:rFonts w:ascii="Times New Roman" w:hAnsi="Times New Roman" w:eastAsia="方正仿宋_GBK"/>
          <w:b/>
          <w:bCs/>
          <w:sz w:val="32"/>
          <w:szCs w:val="32"/>
        </w:rPr>
        <w:t>二是研究解决审验疑难问题。</w:t>
      </w:r>
      <w:r>
        <w:rPr>
          <w:rFonts w:ascii="Times New Roman" w:hAnsi="Times New Roman" w:eastAsia="方正仿宋_GBK"/>
          <w:sz w:val="32"/>
          <w:szCs w:val="32"/>
        </w:rPr>
        <w:t>为解决消防审验工作出现的新的法律法规未明确、标准规范界定不清等疑难复杂问题，中心召开技术小组讨论会，就防火门、防火窗、防火卷帘的现场消防审验评定、错位楼梯能否使用等疑难问题进行梳理答疑，形成市级层面消防审验相关疑难问题解析（二），已在市本级审验项目中执行。</w:t>
      </w:r>
    </w:p>
    <w:p w14:paraId="7AD20A92">
      <w:pPr>
        <w:spacing w:line="560" w:lineRule="exact"/>
        <w:ind w:firstLine="643" w:firstLineChars="200"/>
        <w:rPr>
          <w:rFonts w:ascii="Times New Roman" w:hAnsi="Times New Roman" w:eastAsia="方正仿宋_GBK"/>
          <w:sz w:val="32"/>
          <w:szCs w:val="32"/>
        </w:rPr>
      </w:pPr>
      <w:r>
        <w:rPr>
          <w:rFonts w:ascii="Times New Roman" w:hAnsi="Times New Roman" w:eastAsia="方正仿宋_GBK"/>
          <w:b/>
          <w:bCs/>
          <w:sz w:val="32"/>
          <w:szCs w:val="32"/>
        </w:rPr>
        <w:t>三是深入开展专项课题研究。</w:t>
      </w:r>
      <w:r>
        <w:rPr>
          <w:rFonts w:ascii="Times New Roman" w:hAnsi="Times New Roman" w:eastAsia="方正仿宋_GBK"/>
          <w:sz w:val="32"/>
          <w:szCs w:val="32"/>
        </w:rPr>
        <w:t>开展《技术服务单位及人员管理现状研究》《建设工程消防验收备案项目分级分类管理》《南京市电动汽车库防火设计导则2.0》《南京市“一老一小”活动场所消防审验技术指南》4项课题研究，其中部级课题1项、省级课题1项、市级课题2项，组织《城市更新背景下大型商业综合体消防审验技术要点梳理》申报“华夏奖”。以课题研究成果促进消防审验高质量发展，全力保卫人民群众生命财产安全。</w:t>
      </w:r>
    </w:p>
    <w:p w14:paraId="756CFFCA">
      <w:pPr>
        <w:spacing w:line="560" w:lineRule="exact"/>
        <w:ind w:firstLine="640" w:firstLineChars="200"/>
        <w:rPr>
          <w:rFonts w:ascii="Times New Roman" w:hAnsi="Times New Roman" w:eastAsia="方正楷体_GBK"/>
          <w:sz w:val="32"/>
          <w:szCs w:val="32"/>
        </w:rPr>
      </w:pPr>
      <w:r>
        <w:rPr>
          <w:rFonts w:ascii="Times New Roman" w:hAnsi="Times New Roman" w:eastAsia="方正楷体_GBK"/>
          <w:sz w:val="32"/>
          <w:szCs w:val="32"/>
        </w:rPr>
        <w:t>（四）完善“四项举措”，推进审验标准建设</w:t>
      </w:r>
    </w:p>
    <w:p w14:paraId="5E0E4F04">
      <w:pPr>
        <w:spacing w:line="560" w:lineRule="exact"/>
        <w:ind w:firstLine="643" w:firstLineChars="200"/>
        <w:rPr>
          <w:rFonts w:ascii="Times New Roman" w:hAnsi="Times New Roman" w:eastAsia="方正仿宋_GBK"/>
          <w:kern w:val="0"/>
          <w:sz w:val="32"/>
          <w:szCs w:val="32"/>
        </w:rPr>
      </w:pPr>
      <w:r>
        <w:rPr>
          <w:rStyle w:val="9"/>
          <w:rFonts w:ascii="Times New Roman" w:hAnsi="Times New Roman" w:eastAsia="方正仿宋_GBK"/>
          <w:kern w:val="0"/>
          <w:sz w:val="32"/>
          <w:szCs w:val="32"/>
          <w:shd w:val="clear" w:color="auto" w:fill="FFFFFF"/>
        </w:rPr>
        <w:t>一是坚持开展标准审验。</w:t>
      </w:r>
      <w:r>
        <w:rPr>
          <w:rStyle w:val="9"/>
          <w:rFonts w:ascii="Times New Roman" w:hAnsi="Times New Roman" w:eastAsia="方正仿宋_GBK"/>
          <w:b w:val="0"/>
          <w:bCs/>
          <w:kern w:val="0"/>
          <w:sz w:val="32"/>
          <w:szCs w:val="32"/>
          <w:shd w:val="clear" w:color="auto" w:fill="FFFFFF"/>
        </w:rPr>
        <w:t>消防</w:t>
      </w:r>
      <w:r>
        <w:rPr>
          <w:rFonts w:ascii="Times New Roman" w:hAnsi="Times New Roman" w:eastAsia="方正仿宋_GBK"/>
          <w:sz w:val="32"/>
          <w:szCs w:val="32"/>
        </w:rPr>
        <w:t>审验工作精准落实“六必须 十严禁”规定；从制度、平台和实操三层面</w:t>
      </w:r>
      <w:r>
        <w:rPr>
          <w:rFonts w:ascii="Times New Roman" w:hAnsi="Times New Roman" w:eastAsia="方正仿宋_GBK"/>
          <w:kern w:val="0"/>
          <w:sz w:val="32"/>
          <w:szCs w:val="32"/>
        </w:rPr>
        <w:t>固化验收程序、查验点位、技术要求等，推进现场评定标准化，坚持所有项目“一把尺子量到底”；充分发挥消防审验技术协调小组作用，召开小组会议2次，对</w:t>
      </w:r>
      <w:r>
        <w:rPr>
          <w:rFonts w:ascii="Times New Roman" w:hAnsi="Times New Roman" w:eastAsia="方正仿宋_GBK"/>
          <w:sz w:val="32"/>
          <w:szCs w:val="32"/>
        </w:rPr>
        <w:t>审验工作中的标准尺度等问题集中讨论，降低自由量裁权。</w:t>
      </w:r>
    </w:p>
    <w:p w14:paraId="53D1A372">
      <w:pPr>
        <w:spacing w:line="560" w:lineRule="exact"/>
        <w:ind w:firstLine="643" w:firstLineChars="200"/>
        <w:rPr>
          <w:rFonts w:ascii="Times New Roman" w:hAnsi="Times New Roman" w:eastAsia="方正仿宋_GBK"/>
          <w:sz w:val="32"/>
          <w:szCs w:val="32"/>
        </w:rPr>
      </w:pPr>
      <w:r>
        <w:rPr>
          <w:rStyle w:val="9"/>
          <w:rFonts w:ascii="Times New Roman" w:hAnsi="Times New Roman" w:eastAsia="方正仿宋_GBK"/>
          <w:kern w:val="0"/>
          <w:sz w:val="32"/>
          <w:szCs w:val="32"/>
          <w:shd w:val="clear" w:color="auto" w:fill="FFFFFF"/>
        </w:rPr>
        <w:t>二是强化查验机构管理。</w:t>
      </w:r>
      <w:r>
        <w:rPr>
          <w:rFonts w:ascii="Times New Roman" w:hAnsi="Times New Roman" w:eastAsia="方正仿宋_GBK"/>
          <w:sz w:val="32"/>
          <w:szCs w:val="32"/>
        </w:rPr>
        <w:t>印发《关于消防查验信息统一录入南京市建设工程智慧消防审验平台系统的通知》，以“宁小燕”    系统为载体，增设技术服务机构管理功能模块，开展消防技术服务机构信息归集工作；召开全市建设工程消防查验技术服务机构政策宣贯及系统培训会；分批次开展全市消防查验机构座谈，全面了解其对技术服务管理的意见建议；研究起草《关于开展南京市建设工程消防查验技术服务机构信用评价考核工作的通知》，同步形成符合南京市情的信用评价标准，构建消防查验机构信用管理体系。</w:t>
      </w:r>
    </w:p>
    <w:p w14:paraId="0224F7D7">
      <w:pPr>
        <w:spacing w:line="560" w:lineRule="exact"/>
        <w:ind w:firstLine="643" w:firstLineChars="200"/>
        <w:rPr>
          <w:rStyle w:val="9"/>
          <w:rFonts w:ascii="Times New Roman" w:hAnsi="Times New Roman" w:eastAsia="方正仿宋_GBK"/>
          <w:b w:val="0"/>
          <w:bCs/>
          <w:kern w:val="0"/>
          <w:sz w:val="32"/>
          <w:szCs w:val="32"/>
          <w:shd w:val="clear" w:color="auto" w:fill="FFFFFF"/>
        </w:rPr>
      </w:pPr>
      <w:r>
        <w:rPr>
          <w:rFonts w:ascii="Times New Roman" w:hAnsi="Times New Roman" w:eastAsia="方正仿宋_GBK"/>
          <w:b/>
          <w:bCs/>
          <w:kern w:val="0"/>
          <w:sz w:val="32"/>
          <w:szCs w:val="32"/>
        </w:rPr>
        <w:t>三是</w:t>
      </w:r>
      <w:r>
        <w:rPr>
          <w:rFonts w:ascii="Times New Roman" w:hAnsi="Times New Roman" w:eastAsia="方正仿宋_GBK"/>
          <w:b/>
          <w:sz w:val="32"/>
          <w:szCs w:val="32"/>
        </w:rPr>
        <w:t>持续完善系统功能。</w:t>
      </w:r>
      <w:r>
        <w:rPr>
          <w:rFonts w:ascii="Times New Roman" w:hAnsi="Times New Roman" w:eastAsia="方正仿宋_GBK"/>
          <w:sz w:val="32"/>
          <w:szCs w:val="32"/>
        </w:rPr>
        <w:t>持续完善“宁小燕”智慧消防审验系统合格点位记录、预警问题推送、挂起管理、查验管理等功能建设，有效支撑并制约消防验收行为，严控评定行为自由裁量权，同时扩大系统应用范围，向有意向的区（园区）征集应用需求，促使全市审验工作更加高效规范。</w:t>
      </w:r>
    </w:p>
    <w:p w14:paraId="448347D8">
      <w:pPr>
        <w:spacing w:line="560" w:lineRule="exact"/>
        <w:ind w:firstLine="643" w:firstLineChars="200"/>
        <w:rPr>
          <w:rFonts w:ascii="Times New Roman" w:hAnsi="Times New Roman" w:eastAsia="方正仿宋_GBK"/>
          <w:sz w:val="32"/>
          <w:szCs w:val="32"/>
        </w:rPr>
      </w:pPr>
      <w:r>
        <w:rPr>
          <w:rStyle w:val="9"/>
          <w:rFonts w:ascii="Times New Roman" w:hAnsi="Times New Roman" w:eastAsia="方正仿宋_GBK"/>
          <w:kern w:val="0"/>
          <w:sz w:val="32"/>
          <w:szCs w:val="32"/>
          <w:shd w:val="clear" w:color="auto" w:fill="FFFFFF"/>
        </w:rPr>
        <w:t>四是</w:t>
      </w:r>
      <w:r>
        <w:rPr>
          <w:rFonts w:ascii="Times New Roman" w:hAnsi="Times New Roman" w:eastAsia="方正仿宋_GBK"/>
          <w:b/>
          <w:bCs/>
          <w:kern w:val="0"/>
          <w:sz w:val="32"/>
          <w:szCs w:val="32"/>
        </w:rPr>
        <w:t>构建制度管理网络。</w:t>
      </w:r>
      <w:r>
        <w:rPr>
          <w:rFonts w:ascii="Times New Roman" w:hAnsi="Times New Roman" w:eastAsia="方正仿宋_GBK"/>
          <w:kern w:val="0"/>
          <w:sz w:val="32"/>
          <w:szCs w:val="32"/>
        </w:rPr>
        <w:t>制定印发《行政处罚初步调查相关工作内部管理制度（试行）》《建设工程消防审验工作档案管理制度》</w:t>
      </w:r>
      <w:r>
        <w:rPr>
          <w:rFonts w:ascii="Times New Roman" w:hAnsi="Times New Roman" w:eastAsia="方正仿宋_GBK"/>
          <w:sz w:val="32"/>
          <w:szCs w:val="32"/>
        </w:rPr>
        <w:t>《南京市建设工程消防审验服务中心服务及行政执法规范用语指引》</w:t>
      </w:r>
      <w:r>
        <w:rPr>
          <w:rFonts w:ascii="Times New Roman" w:hAnsi="Times New Roman" w:eastAsia="方正仿宋_GBK"/>
          <w:kern w:val="0"/>
          <w:sz w:val="32"/>
          <w:szCs w:val="32"/>
        </w:rPr>
        <w:t>，以制度文件规范消防审验内部行为，进一步规范</w:t>
      </w:r>
      <w:r>
        <w:rPr>
          <w:rFonts w:ascii="Times New Roman" w:hAnsi="Times New Roman" w:eastAsia="方正仿宋_GBK"/>
          <w:kern w:val="0"/>
          <w:sz w:val="32"/>
          <w:szCs w:val="32"/>
          <w:shd w:val="clear" w:color="auto" w:fill="FFFFFF"/>
        </w:rPr>
        <w:t>服务及行政执法工作</w:t>
      </w:r>
      <w:r>
        <w:rPr>
          <w:rFonts w:ascii="Times New Roman" w:hAnsi="Times New Roman" w:eastAsia="方正仿宋_GBK"/>
          <w:kern w:val="0"/>
          <w:sz w:val="32"/>
          <w:szCs w:val="32"/>
        </w:rPr>
        <w:t>、</w:t>
      </w:r>
      <w:r>
        <w:rPr>
          <w:rFonts w:ascii="Times New Roman" w:hAnsi="Times New Roman" w:eastAsia="方正仿宋_GBK"/>
          <w:sz w:val="32"/>
          <w:szCs w:val="32"/>
        </w:rPr>
        <w:t>加强消防审验工作档案管理，提高消防审验工作规范化、信息化水平。</w:t>
      </w:r>
    </w:p>
    <w:p w14:paraId="36B44BC1">
      <w:pPr>
        <w:numPr>
          <w:ilvl w:val="0"/>
          <w:numId w:val="2"/>
        </w:numPr>
        <w:adjustRightInd w:val="0"/>
        <w:snapToGrid w:val="0"/>
        <w:spacing w:line="560" w:lineRule="exact"/>
        <w:ind w:firstLine="640" w:firstLineChars="200"/>
        <w:rPr>
          <w:rFonts w:ascii="Times New Roman" w:hAnsi="Times New Roman" w:eastAsia="黑体"/>
          <w:bCs/>
          <w:sz w:val="32"/>
          <w:szCs w:val="32"/>
        </w:rPr>
      </w:pPr>
      <w:r>
        <w:rPr>
          <w:rFonts w:ascii="Times New Roman" w:hAnsi="Times New Roman" w:eastAsia="黑体"/>
          <w:bCs/>
          <w:sz w:val="32"/>
          <w:szCs w:val="32"/>
        </w:rPr>
        <w:t>存在问题及原因分析</w:t>
      </w:r>
    </w:p>
    <w:p w14:paraId="24CFAC73">
      <w:pPr>
        <w:spacing w:line="560" w:lineRule="exact"/>
        <w:ind w:firstLine="640" w:firstLineChars="200"/>
        <w:rPr>
          <w:rFonts w:ascii="Times New Roman" w:hAnsi="Times New Roman" w:eastAsia="方正仿宋_GBK"/>
          <w:kern w:val="0"/>
          <w:sz w:val="32"/>
          <w:szCs w:val="32"/>
        </w:rPr>
      </w:pPr>
      <w:r>
        <w:rPr>
          <w:rFonts w:ascii="Times New Roman" w:hAnsi="Times New Roman" w:eastAsia="方正仿宋_GBK"/>
          <w:kern w:val="0"/>
          <w:sz w:val="32"/>
          <w:szCs w:val="32"/>
        </w:rPr>
        <w:t>虽然消防中心各项工作取得了一些成绩，但南京的消防审验工作与领导的期盼和群众的要求还存在差距，比如城市更新对消防审验提出了新的要求；安全高压态势下，消防审验迫切需要和建设管理全过程融合等，要求中心要以问题为导向，既面向当前、加快解决存在的问题，又着眼长远、建立健全长效机制，进一步提升消防审验服务水平。</w:t>
      </w:r>
    </w:p>
    <w:p w14:paraId="7C47D9CC">
      <w:pPr>
        <w:adjustRightInd w:val="0"/>
        <w:snapToGrid w:val="0"/>
        <w:spacing w:line="560" w:lineRule="exact"/>
        <w:ind w:firstLine="640" w:firstLineChars="200"/>
        <w:rPr>
          <w:rFonts w:ascii="Times New Roman" w:hAnsi="Times New Roman" w:eastAsia="黑体"/>
          <w:bCs/>
          <w:sz w:val="32"/>
          <w:szCs w:val="32"/>
        </w:rPr>
      </w:pPr>
      <w:r>
        <w:rPr>
          <w:rFonts w:ascii="Times New Roman" w:hAnsi="Times New Roman" w:eastAsia="黑体"/>
          <w:bCs/>
          <w:sz w:val="32"/>
          <w:szCs w:val="32"/>
        </w:rPr>
        <w:t>五、下一步工作建议</w:t>
      </w:r>
    </w:p>
    <w:p w14:paraId="3EBDDFA5">
      <w:pPr>
        <w:spacing w:line="560" w:lineRule="exact"/>
        <w:ind w:firstLine="640" w:firstLineChars="200"/>
        <w:rPr>
          <w:rFonts w:ascii="Times New Roman" w:hAnsi="Times New Roman" w:eastAsia="方正仿宋_GBK"/>
          <w:sz w:val="32"/>
        </w:rPr>
      </w:pPr>
      <w:r>
        <w:rPr>
          <w:rFonts w:ascii="Times New Roman" w:hAnsi="Times New Roman" w:eastAsia="方正仿宋_GBK"/>
          <w:sz w:val="32"/>
          <w:szCs w:val="32"/>
        </w:rPr>
        <w:t>2025年，消防中心将重点做好以下几方面工作：一是进一步规范消防审验管理工作。持续标准化建设，加强制度建设和人才培养；不断完善智慧审验平台，推动平台在市管项目全面实施，形成可以复制的经验后供全市使用；优化消防审验举措，不断提升服务对象获得感。二是进一步强化第三方机构管理。持续做好调查研究工作，在充分征求相关行业主体意见的基础上，尽快形成南京市建设工程消防审查验收第三方技术服务机构的管理措施。三是进一步促进课题成果转化，提高课题研究质量，力争形成一部专著、一项地标、一项专利和多篇高质量论文，努力把研究成果转化为技术支撑和制度规范，成为消防审验工作高质量发展的推动力。四是聚焦重点项目。</w:t>
      </w:r>
      <w:r>
        <w:rPr>
          <w:rFonts w:ascii="Times New Roman" w:hAnsi="Times New Roman" w:eastAsia="方正仿宋_GBK"/>
          <w:sz w:val="32"/>
        </w:rPr>
        <w:t>密切关注社会发展过程中消防审验领域出现的新情况、新问题；持续做好交通、医疗、教育等民生重点工程及保交付工程项目的消防审验工作；及时化解项目急难愁盼问题，进一步推动项目落地达产。</w:t>
      </w:r>
    </w:p>
    <w:p w14:paraId="5624BDEB">
      <w:pPr>
        <w:adjustRightInd w:val="0"/>
        <w:snapToGrid w:val="0"/>
        <w:spacing w:line="600" w:lineRule="exact"/>
        <w:rPr>
          <w:rFonts w:ascii="Times New Roman" w:hAnsi="Times New Roman" w:eastAsia="仿宋"/>
          <w:sz w:val="32"/>
          <w:szCs w:val="32"/>
        </w:rPr>
      </w:pPr>
    </w:p>
    <w:p w14:paraId="203B02D3">
      <w:pPr>
        <w:adjustRightInd w:val="0"/>
        <w:snapToGrid w:val="0"/>
        <w:spacing w:line="600" w:lineRule="exact"/>
        <w:ind w:firstLine="640" w:firstLineChars="200"/>
        <w:rPr>
          <w:rFonts w:ascii="Times New Roman" w:hAnsi="Times New Roman" w:eastAsia="黑体"/>
          <w:bCs/>
          <w:sz w:val="32"/>
          <w:szCs w:val="32"/>
        </w:rPr>
      </w:pPr>
      <w:r>
        <w:rPr>
          <w:rFonts w:ascii="Times New Roman" w:hAnsi="Times New Roman" w:eastAsia="黑体"/>
          <w:bCs/>
          <w:sz w:val="32"/>
          <w:szCs w:val="32"/>
        </w:rPr>
        <w:t>六、评价工作开展情况级其他需要说明的情况：无</w:t>
      </w:r>
    </w:p>
    <w:p w14:paraId="49458AAC">
      <w:pPr>
        <w:adjustRightInd w:val="0"/>
        <w:snapToGrid w:val="0"/>
        <w:spacing w:line="600" w:lineRule="exact"/>
        <w:rPr>
          <w:rFonts w:ascii="Times New Roman" w:hAnsi="Times New Roman" w:eastAsia="仿宋"/>
          <w:color w:val="FF0000"/>
          <w:sz w:val="32"/>
          <w:szCs w:val="32"/>
        </w:rPr>
      </w:pPr>
    </w:p>
    <w:p w14:paraId="4AB3C554">
      <w:pPr>
        <w:adjustRightInd w:val="0"/>
        <w:snapToGrid w:val="0"/>
        <w:spacing w:line="600" w:lineRule="exact"/>
        <w:rPr>
          <w:rFonts w:ascii="Times New Roman" w:hAnsi="Times New Roman" w:eastAsia="方正仿宋_GBK"/>
          <w:color w:val="FF0000"/>
          <w:sz w:val="32"/>
          <w:szCs w:val="32"/>
        </w:rPr>
      </w:pPr>
    </w:p>
    <w:p w14:paraId="3B64D3B2">
      <w:pPr>
        <w:adjustRightInd w:val="0"/>
        <w:snapToGrid w:val="0"/>
        <w:spacing w:line="600" w:lineRule="exact"/>
        <w:ind w:firstLine="3200" w:firstLineChars="1000"/>
        <w:rPr>
          <w:rFonts w:ascii="Times New Roman" w:hAnsi="Times New Roman" w:eastAsia="方正仿宋_GBK"/>
          <w:sz w:val="32"/>
        </w:rPr>
      </w:pPr>
      <w:r>
        <w:rPr>
          <w:rFonts w:ascii="Times New Roman" w:hAnsi="Times New Roman" w:eastAsia="方正仿宋_GBK"/>
          <w:sz w:val="32"/>
        </w:rPr>
        <w:t>南京市建设工程消防审验服务中心</w:t>
      </w:r>
    </w:p>
    <w:p w14:paraId="14045693">
      <w:pPr>
        <w:adjustRightInd w:val="0"/>
        <w:snapToGrid w:val="0"/>
        <w:spacing w:line="600" w:lineRule="exact"/>
        <w:rPr>
          <w:rFonts w:ascii="Times New Roman" w:hAnsi="Times New Roman" w:eastAsia="方正仿宋_GBK"/>
          <w:sz w:val="32"/>
        </w:rPr>
      </w:pPr>
      <w:r>
        <w:rPr>
          <w:rFonts w:ascii="Times New Roman" w:hAnsi="Times New Roman" w:eastAsia="方正仿宋_GBK"/>
          <w:sz w:val="32"/>
        </w:rPr>
        <w:t xml:space="preserve">                                 2025年6月23日</w:t>
      </w:r>
    </w:p>
    <w:p w14:paraId="0FC58F4F">
      <w:pPr>
        <w:tabs>
          <w:tab w:val="left" w:pos="745"/>
        </w:tabs>
        <w:jc w:val="left"/>
        <w:sectPr>
          <w:headerReference r:id="rId5" w:type="first"/>
          <w:footerReference r:id="rId8" w:type="first"/>
          <w:headerReference r:id="rId3" w:type="default"/>
          <w:footerReference r:id="rId6" w:type="default"/>
          <w:headerReference r:id="rId4" w:type="even"/>
          <w:footerReference r:id="rId7" w:type="even"/>
          <w:pgSz w:w="11906" w:h="16838"/>
          <w:pgMar w:top="1247" w:right="1418" w:bottom="1247" w:left="1474" w:header="851" w:footer="992" w:gutter="0"/>
          <w:cols w:space="425" w:num="1"/>
          <w:docGrid w:type="lines" w:linePitch="381" w:charSpace="0"/>
        </w:sectPr>
      </w:pPr>
    </w:p>
    <w:p w14:paraId="702C5D8C">
      <w:pPr>
        <w:ind w:firstLine="227" w:firstLineChars="71"/>
        <w:rPr>
          <w:rFonts w:ascii="宋体" w:hAnsi="宋体"/>
          <w:sz w:val="32"/>
        </w:rPr>
      </w:pPr>
      <w:r>
        <w:rPr>
          <w:rFonts w:ascii="宋体" w:hAnsi="宋体"/>
          <w:sz w:val="32"/>
        </w:rPr>
        <w:t>附件1：</w:t>
      </w:r>
    </w:p>
    <w:p w14:paraId="465D7A22">
      <w:pPr>
        <w:ind w:firstLine="227" w:firstLineChars="71"/>
        <w:jc w:val="center"/>
        <w:rPr>
          <w:rFonts w:ascii="Times New Roman" w:hAnsi="Times New Roman" w:eastAsia="方正仿宋_GBK"/>
          <w:sz w:val="32"/>
        </w:rPr>
      </w:pPr>
      <w:r>
        <w:rPr>
          <w:rFonts w:ascii="Times New Roman" w:hAnsi="Times New Roman" w:eastAsia="方正仿宋_GBK"/>
          <w:sz w:val="32"/>
        </w:rPr>
        <w:t>南京市建设工程消防审验服务中心202</w:t>
      </w:r>
      <w:r>
        <w:rPr>
          <w:rFonts w:hint="eastAsia" w:ascii="Times New Roman" w:hAnsi="Times New Roman" w:eastAsia="方正仿宋_GBK"/>
          <w:sz w:val="32"/>
        </w:rPr>
        <w:t>4</w:t>
      </w:r>
      <w:r>
        <w:rPr>
          <w:rFonts w:ascii="Times New Roman" w:hAnsi="Times New Roman" w:eastAsia="方正仿宋_GBK"/>
          <w:sz w:val="32"/>
        </w:rPr>
        <w:t>年度部门整体绩效评价指标体系得分表</w:t>
      </w:r>
    </w:p>
    <w:tbl>
      <w:tblPr>
        <w:tblStyle w:val="7"/>
        <w:tblW w:w="0" w:type="auto"/>
        <w:tblInd w:w="25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2268"/>
        <w:gridCol w:w="2123"/>
        <w:gridCol w:w="3828"/>
        <w:gridCol w:w="850"/>
        <w:gridCol w:w="676"/>
        <w:gridCol w:w="3260"/>
      </w:tblGrid>
      <w:tr w14:paraId="01DA9F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blHeader/>
        </w:trPr>
        <w:tc>
          <w:tcPr>
            <w:tcW w:w="2268" w:type="dxa"/>
            <w:shd w:val="clear" w:color="auto" w:fill="auto"/>
            <w:vAlign w:val="center"/>
          </w:tcPr>
          <w:p w14:paraId="68E42CFD">
            <w:pPr>
              <w:widowControl/>
              <w:jc w:val="center"/>
              <w:rPr>
                <w:rFonts w:ascii="Times New Roman" w:hAnsi="Times New Roman"/>
                <w:b/>
                <w:bCs/>
                <w:kern w:val="0"/>
                <w:sz w:val="24"/>
                <w:szCs w:val="24"/>
              </w:rPr>
            </w:pPr>
            <w:r>
              <w:rPr>
                <w:rFonts w:ascii="Times New Roman" w:hAnsi="Times New Roman" w:eastAsia="仿宋"/>
                <w:b/>
                <w:bCs/>
                <w:kern w:val="0"/>
                <w:sz w:val="24"/>
                <w:szCs w:val="24"/>
              </w:rPr>
              <w:t>一级指标</w:t>
            </w:r>
          </w:p>
        </w:tc>
        <w:tc>
          <w:tcPr>
            <w:tcW w:w="2123" w:type="dxa"/>
            <w:shd w:val="clear" w:color="auto" w:fill="auto"/>
            <w:vAlign w:val="center"/>
          </w:tcPr>
          <w:p w14:paraId="7EC1D727">
            <w:pPr>
              <w:widowControl/>
              <w:jc w:val="center"/>
              <w:rPr>
                <w:rFonts w:ascii="Times New Roman" w:hAnsi="Times New Roman"/>
                <w:b/>
                <w:bCs/>
                <w:kern w:val="0"/>
                <w:sz w:val="24"/>
                <w:szCs w:val="24"/>
              </w:rPr>
            </w:pPr>
            <w:r>
              <w:rPr>
                <w:rFonts w:ascii="Times New Roman" w:hAnsi="Times New Roman" w:eastAsia="仿宋"/>
                <w:b/>
                <w:bCs/>
                <w:kern w:val="0"/>
                <w:sz w:val="24"/>
                <w:szCs w:val="24"/>
              </w:rPr>
              <w:t>二级指标</w:t>
            </w:r>
          </w:p>
        </w:tc>
        <w:tc>
          <w:tcPr>
            <w:tcW w:w="3828" w:type="dxa"/>
            <w:shd w:val="clear" w:color="auto" w:fill="auto"/>
            <w:vAlign w:val="center"/>
          </w:tcPr>
          <w:p w14:paraId="3076095E">
            <w:pPr>
              <w:widowControl/>
              <w:jc w:val="center"/>
              <w:rPr>
                <w:rFonts w:ascii="Times New Roman" w:hAnsi="Times New Roman"/>
                <w:b/>
                <w:bCs/>
                <w:kern w:val="0"/>
                <w:sz w:val="24"/>
                <w:szCs w:val="24"/>
              </w:rPr>
            </w:pPr>
            <w:r>
              <w:rPr>
                <w:rFonts w:ascii="Times New Roman" w:hAnsi="Times New Roman" w:eastAsia="仿宋"/>
                <w:b/>
                <w:bCs/>
                <w:kern w:val="0"/>
                <w:sz w:val="24"/>
                <w:szCs w:val="24"/>
              </w:rPr>
              <w:t>三级指标（参考）</w:t>
            </w:r>
          </w:p>
        </w:tc>
        <w:tc>
          <w:tcPr>
            <w:tcW w:w="850" w:type="dxa"/>
            <w:shd w:val="clear" w:color="auto" w:fill="auto"/>
            <w:vAlign w:val="center"/>
          </w:tcPr>
          <w:p w14:paraId="30EAD61F">
            <w:pPr>
              <w:widowControl/>
              <w:jc w:val="center"/>
              <w:rPr>
                <w:rFonts w:ascii="Times New Roman" w:hAnsi="Times New Roman"/>
                <w:b/>
                <w:bCs/>
                <w:kern w:val="0"/>
                <w:sz w:val="24"/>
                <w:szCs w:val="24"/>
              </w:rPr>
            </w:pPr>
            <w:r>
              <w:rPr>
                <w:rFonts w:ascii="Times New Roman" w:hAnsi="Times New Roman" w:eastAsia="仿宋"/>
                <w:b/>
                <w:bCs/>
                <w:kern w:val="0"/>
                <w:sz w:val="24"/>
                <w:szCs w:val="24"/>
              </w:rPr>
              <w:t>权重</w:t>
            </w:r>
          </w:p>
        </w:tc>
        <w:tc>
          <w:tcPr>
            <w:tcW w:w="676" w:type="dxa"/>
            <w:vAlign w:val="center"/>
          </w:tcPr>
          <w:p w14:paraId="087C80BD">
            <w:pPr>
              <w:widowControl/>
              <w:jc w:val="center"/>
              <w:rPr>
                <w:rFonts w:ascii="Times New Roman" w:hAnsi="Times New Roman"/>
                <w:b/>
                <w:bCs/>
                <w:kern w:val="0"/>
                <w:sz w:val="24"/>
                <w:szCs w:val="24"/>
              </w:rPr>
            </w:pPr>
            <w:r>
              <w:rPr>
                <w:rFonts w:ascii="Times New Roman" w:hAnsi="Times New Roman" w:eastAsia="仿宋"/>
                <w:b/>
                <w:bCs/>
                <w:kern w:val="0"/>
                <w:sz w:val="24"/>
                <w:szCs w:val="24"/>
              </w:rPr>
              <w:t>得分</w:t>
            </w:r>
          </w:p>
        </w:tc>
        <w:tc>
          <w:tcPr>
            <w:tcW w:w="3260" w:type="dxa"/>
            <w:shd w:val="clear" w:color="auto" w:fill="auto"/>
            <w:vAlign w:val="center"/>
          </w:tcPr>
          <w:p w14:paraId="654A820D">
            <w:pPr>
              <w:widowControl/>
              <w:jc w:val="center"/>
              <w:rPr>
                <w:rFonts w:ascii="Times New Roman" w:hAnsi="Times New Roman"/>
                <w:b/>
                <w:bCs/>
                <w:kern w:val="0"/>
                <w:sz w:val="24"/>
                <w:szCs w:val="24"/>
              </w:rPr>
            </w:pPr>
            <w:r>
              <w:rPr>
                <w:rFonts w:ascii="Times New Roman" w:hAnsi="Times New Roman" w:eastAsia="仿宋"/>
                <w:b/>
                <w:bCs/>
                <w:kern w:val="0"/>
                <w:sz w:val="24"/>
                <w:szCs w:val="24"/>
              </w:rPr>
              <w:t>评价要点</w:t>
            </w:r>
          </w:p>
        </w:tc>
      </w:tr>
      <w:tr w14:paraId="17DF83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restart"/>
            <w:shd w:val="clear" w:color="auto" w:fill="auto"/>
            <w:vAlign w:val="center"/>
          </w:tcPr>
          <w:p w14:paraId="06A28F1E">
            <w:pPr>
              <w:widowControl/>
              <w:jc w:val="left"/>
              <w:rPr>
                <w:rFonts w:ascii="Times New Roman" w:hAnsi="Times New Roman"/>
                <w:kern w:val="0"/>
                <w:sz w:val="24"/>
                <w:szCs w:val="24"/>
              </w:rPr>
            </w:pPr>
            <w:r>
              <w:rPr>
                <w:rFonts w:ascii="Times New Roman" w:hAnsi="Times New Roman" w:eastAsia="仿宋"/>
                <w:kern w:val="0"/>
                <w:sz w:val="24"/>
                <w:szCs w:val="24"/>
              </w:rPr>
              <w:t>A部门决策（10分）</w:t>
            </w:r>
          </w:p>
        </w:tc>
        <w:tc>
          <w:tcPr>
            <w:tcW w:w="2123" w:type="dxa"/>
            <w:vMerge w:val="restart"/>
            <w:shd w:val="clear" w:color="auto" w:fill="auto"/>
            <w:vAlign w:val="center"/>
          </w:tcPr>
          <w:p w14:paraId="7409F38F">
            <w:pPr>
              <w:widowControl/>
              <w:jc w:val="left"/>
              <w:rPr>
                <w:rFonts w:ascii="Times New Roman" w:hAnsi="Times New Roman"/>
                <w:kern w:val="0"/>
                <w:sz w:val="24"/>
                <w:szCs w:val="24"/>
              </w:rPr>
            </w:pPr>
            <w:r>
              <w:rPr>
                <w:rFonts w:ascii="Times New Roman" w:hAnsi="Times New Roman" w:eastAsia="仿宋"/>
                <w:kern w:val="0"/>
                <w:sz w:val="24"/>
                <w:szCs w:val="24"/>
              </w:rPr>
              <w:t>A1决策机制（4分）</w:t>
            </w:r>
          </w:p>
        </w:tc>
        <w:tc>
          <w:tcPr>
            <w:tcW w:w="3828" w:type="dxa"/>
            <w:shd w:val="clear" w:color="auto" w:fill="auto"/>
            <w:vAlign w:val="center"/>
          </w:tcPr>
          <w:p w14:paraId="3153A8D9">
            <w:pPr>
              <w:widowControl/>
              <w:jc w:val="left"/>
              <w:rPr>
                <w:rFonts w:ascii="Times New Roman" w:hAnsi="Times New Roman"/>
                <w:kern w:val="0"/>
                <w:sz w:val="24"/>
                <w:szCs w:val="24"/>
              </w:rPr>
            </w:pPr>
            <w:r>
              <w:rPr>
                <w:rFonts w:ascii="Times New Roman" w:hAnsi="Times New Roman" w:eastAsia="仿宋"/>
                <w:kern w:val="0"/>
                <w:sz w:val="24"/>
                <w:szCs w:val="24"/>
              </w:rPr>
              <w:t>A11决策制度的</w:t>
            </w:r>
            <w:r>
              <w:rPr>
                <w:rFonts w:ascii="Times New Roman" w:hAnsi="Times New Roman" w:eastAsia="仿宋"/>
                <w:kern w:val="0"/>
                <w:sz w:val="24"/>
                <w:szCs w:val="24"/>
                <w:u w:val="single"/>
              </w:rPr>
              <w:t>科学性</w:t>
            </w:r>
          </w:p>
        </w:tc>
        <w:tc>
          <w:tcPr>
            <w:tcW w:w="850" w:type="dxa"/>
            <w:shd w:val="clear" w:color="auto" w:fill="auto"/>
            <w:vAlign w:val="center"/>
          </w:tcPr>
          <w:p w14:paraId="13AA2207">
            <w:pPr>
              <w:widowControl/>
              <w:jc w:val="center"/>
              <w:rPr>
                <w:rFonts w:ascii="Times New Roman" w:hAnsi="Times New Roman"/>
                <w:kern w:val="0"/>
                <w:sz w:val="24"/>
                <w:szCs w:val="24"/>
              </w:rPr>
            </w:pPr>
            <w:r>
              <w:rPr>
                <w:rFonts w:ascii="Times New Roman" w:hAnsi="Times New Roman" w:eastAsia="仿宋"/>
                <w:kern w:val="0"/>
                <w:sz w:val="24"/>
                <w:szCs w:val="24"/>
              </w:rPr>
              <w:t>2</w:t>
            </w:r>
          </w:p>
        </w:tc>
        <w:tc>
          <w:tcPr>
            <w:tcW w:w="676" w:type="dxa"/>
            <w:vAlign w:val="center"/>
          </w:tcPr>
          <w:p w14:paraId="2623C481">
            <w:pPr>
              <w:widowControl/>
              <w:jc w:val="center"/>
              <w:rPr>
                <w:rFonts w:ascii="Times New Roman" w:hAnsi="Times New Roman"/>
                <w:kern w:val="0"/>
                <w:sz w:val="24"/>
                <w:szCs w:val="24"/>
              </w:rPr>
            </w:pPr>
            <w:r>
              <w:rPr>
                <w:rFonts w:ascii="Times New Roman" w:hAnsi="Times New Roman" w:eastAsia="仿宋"/>
                <w:kern w:val="0"/>
                <w:sz w:val="24"/>
                <w:szCs w:val="24"/>
              </w:rPr>
              <w:t>2</w:t>
            </w:r>
          </w:p>
        </w:tc>
        <w:tc>
          <w:tcPr>
            <w:tcW w:w="3260" w:type="dxa"/>
            <w:shd w:val="clear" w:color="auto" w:fill="auto"/>
            <w:vAlign w:val="center"/>
          </w:tcPr>
          <w:p w14:paraId="49475091">
            <w:pPr>
              <w:widowControl/>
              <w:jc w:val="left"/>
              <w:rPr>
                <w:rFonts w:ascii="Times New Roman" w:hAnsi="Times New Roman"/>
                <w:kern w:val="0"/>
                <w:sz w:val="24"/>
                <w:szCs w:val="24"/>
              </w:rPr>
            </w:pPr>
            <w:r>
              <w:rPr>
                <w:rFonts w:ascii="Times New Roman" w:hAnsi="Times New Roman" w:eastAsia="仿宋"/>
                <w:kern w:val="0"/>
                <w:sz w:val="24"/>
                <w:szCs w:val="24"/>
              </w:rPr>
              <w:t>决策制度</w:t>
            </w:r>
            <w:r>
              <w:rPr>
                <w:rFonts w:ascii="Times New Roman" w:hAnsi="Times New Roman" w:eastAsia="仿宋"/>
                <w:kern w:val="0"/>
                <w:sz w:val="24"/>
                <w:szCs w:val="24"/>
                <w:u w:val="single"/>
              </w:rPr>
              <w:t>科学</w:t>
            </w:r>
          </w:p>
        </w:tc>
      </w:tr>
      <w:tr w14:paraId="6FA2AB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3DB7F828">
            <w:pPr>
              <w:widowControl/>
              <w:jc w:val="left"/>
              <w:rPr>
                <w:rFonts w:ascii="Times New Roman" w:hAnsi="Times New Roman"/>
                <w:kern w:val="0"/>
                <w:sz w:val="24"/>
                <w:szCs w:val="24"/>
              </w:rPr>
            </w:pPr>
          </w:p>
        </w:tc>
        <w:tc>
          <w:tcPr>
            <w:tcW w:w="2123" w:type="dxa"/>
            <w:vMerge w:val="continue"/>
            <w:vAlign w:val="center"/>
          </w:tcPr>
          <w:p w14:paraId="2BB4F621">
            <w:pPr>
              <w:widowControl/>
              <w:jc w:val="left"/>
              <w:rPr>
                <w:rFonts w:ascii="Times New Roman" w:hAnsi="Times New Roman"/>
                <w:kern w:val="0"/>
                <w:sz w:val="24"/>
                <w:szCs w:val="24"/>
              </w:rPr>
            </w:pPr>
          </w:p>
        </w:tc>
        <w:tc>
          <w:tcPr>
            <w:tcW w:w="3828" w:type="dxa"/>
            <w:shd w:val="clear" w:color="auto" w:fill="auto"/>
            <w:vAlign w:val="center"/>
          </w:tcPr>
          <w:p w14:paraId="249F1857">
            <w:pPr>
              <w:widowControl/>
              <w:jc w:val="left"/>
              <w:rPr>
                <w:rFonts w:ascii="Times New Roman" w:hAnsi="Times New Roman"/>
                <w:kern w:val="0"/>
                <w:sz w:val="24"/>
                <w:szCs w:val="24"/>
              </w:rPr>
            </w:pPr>
            <w:r>
              <w:rPr>
                <w:rFonts w:ascii="Times New Roman" w:hAnsi="Times New Roman" w:eastAsia="仿宋"/>
                <w:kern w:val="0"/>
                <w:sz w:val="24"/>
                <w:szCs w:val="24"/>
              </w:rPr>
              <w:t>A12决策流程的</w:t>
            </w:r>
            <w:r>
              <w:rPr>
                <w:rFonts w:hint="eastAsia" w:ascii="Times New Roman" w:hAnsi="Times New Roman" w:eastAsia="仿宋"/>
                <w:kern w:val="0"/>
                <w:sz w:val="24"/>
                <w:szCs w:val="24"/>
                <w:u w:val="single"/>
              </w:rPr>
              <w:t>规范</w:t>
            </w:r>
            <w:r>
              <w:rPr>
                <w:rFonts w:ascii="Times New Roman" w:hAnsi="Times New Roman" w:eastAsia="仿宋"/>
                <w:kern w:val="0"/>
                <w:sz w:val="24"/>
                <w:szCs w:val="24"/>
                <w:u w:val="single"/>
              </w:rPr>
              <w:t>性</w:t>
            </w:r>
          </w:p>
        </w:tc>
        <w:tc>
          <w:tcPr>
            <w:tcW w:w="850" w:type="dxa"/>
            <w:shd w:val="clear" w:color="auto" w:fill="auto"/>
            <w:vAlign w:val="center"/>
          </w:tcPr>
          <w:p w14:paraId="26AD2EA5">
            <w:pPr>
              <w:widowControl/>
              <w:jc w:val="center"/>
              <w:rPr>
                <w:rFonts w:ascii="Times New Roman" w:hAnsi="Times New Roman"/>
                <w:kern w:val="0"/>
                <w:sz w:val="24"/>
                <w:szCs w:val="24"/>
              </w:rPr>
            </w:pPr>
            <w:r>
              <w:rPr>
                <w:rFonts w:ascii="Times New Roman" w:hAnsi="Times New Roman" w:eastAsia="仿宋"/>
                <w:kern w:val="0"/>
                <w:sz w:val="24"/>
                <w:szCs w:val="24"/>
              </w:rPr>
              <w:t>1</w:t>
            </w:r>
          </w:p>
        </w:tc>
        <w:tc>
          <w:tcPr>
            <w:tcW w:w="676" w:type="dxa"/>
            <w:vAlign w:val="center"/>
          </w:tcPr>
          <w:p w14:paraId="30A92B96">
            <w:pPr>
              <w:widowControl/>
              <w:jc w:val="center"/>
              <w:rPr>
                <w:rFonts w:ascii="Times New Roman" w:hAnsi="Times New Roman"/>
                <w:kern w:val="0"/>
                <w:sz w:val="24"/>
                <w:szCs w:val="24"/>
              </w:rPr>
            </w:pPr>
            <w:r>
              <w:rPr>
                <w:rFonts w:ascii="Times New Roman" w:hAnsi="Times New Roman" w:eastAsia="仿宋"/>
                <w:kern w:val="0"/>
                <w:sz w:val="24"/>
                <w:szCs w:val="24"/>
              </w:rPr>
              <w:t>1</w:t>
            </w:r>
          </w:p>
        </w:tc>
        <w:tc>
          <w:tcPr>
            <w:tcW w:w="3260" w:type="dxa"/>
            <w:shd w:val="clear" w:color="auto" w:fill="auto"/>
            <w:vAlign w:val="center"/>
          </w:tcPr>
          <w:p w14:paraId="71E41777">
            <w:pPr>
              <w:widowControl/>
              <w:jc w:val="left"/>
              <w:rPr>
                <w:rFonts w:ascii="Times New Roman" w:hAnsi="Times New Roman"/>
                <w:kern w:val="0"/>
                <w:sz w:val="24"/>
                <w:szCs w:val="24"/>
              </w:rPr>
            </w:pPr>
            <w:r>
              <w:rPr>
                <w:rFonts w:ascii="Times New Roman" w:hAnsi="Times New Roman" w:eastAsia="仿宋"/>
                <w:kern w:val="0"/>
                <w:sz w:val="24"/>
                <w:szCs w:val="24"/>
              </w:rPr>
              <w:t>决策流程</w:t>
            </w:r>
            <w:r>
              <w:rPr>
                <w:rFonts w:ascii="Times New Roman" w:hAnsi="Times New Roman" w:eastAsia="仿宋"/>
                <w:kern w:val="0"/>
                <w:sz w:val="24"/>
                <w:szCs w:val="24"/>
                <w:u w:val="single"/>
              </w:rPr>
              <w:t>规范</w:t>
            </w:r>
          </w:p>
        </w:tc>
      </w:tr>
      <w:tr w14:paraId="052EA4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0B6FF220">
            <w:pPr>
              <w:widowControl/>
              <w:jc w:val="left"/>
              <w:rPr>
                <w:rFonts w:ascii="Times New Roman" w:hAnsi="Times New Roman"/>
                <w:kern w:val="0"/>
                <w:sz w:val="24"/>
                <w:szCs w:val="24"/>
              </w:rPr>
            </w:pPr>
          </w:p>
        </w:tc>
        <w:tc>
          <w:tcPr>
            <w:tcW w:w="2123" w:type="dxa"/>
            <w:vMerge w:val="continue"/>
            <w:vAlign w:val="center"/>
          </w:tcPr>
          <w:p w14:paraId="0F77F08A">
            <w:pPr>
              <w:widowControl/>
              <w:jc w:val="left"/>
              <w:rPr>
                <w:rFonts w:ascii="Times New Roman" w:hAnsi="Times New Roman"/>
                <w:kern w:val="0"/>
                <w:sz w:val="24"/>
                <w:szCs w:val="24"/>
              </w:rPr>
            </w:pPr>
          </w:p>
        </w:tc>
        <w:tc>
          <w:tcPr>
            <w:tcW w:w="3828" w:type="dxa"/>
            <w:shd w:val="clear" w:color="auto" w:fill="auto"/>
            <w:vAlign w:val="center"/>
          </w:tcPr>
          <w:p w14:paraId="5AAB54B4">
            <w:pPr>
              <w:widowControl/>
              <w:jc w:val="left"/>
              <w:rPr>
                <w:rFonts w:ascii="Times New Roman" w:hAnsi="Times New Roman"/>
                <w:kern w:val="0"/>
                <w:sz w:val="24"/>
                <w:szCs w:val="24"/>
              </w:rPr>
            </w:pPr>
            <w:r>
              <w:rPr>
                <w:rFonts w:ascii="Times New Roman" w:hAnsi="Times New Roman" w:eastAsia="仿宋"/>
                <w:kern w:val="0"/>
                <w:sz w:val="24"/>
                <w:szCs w:val="24"/>
              </w:rPr>
              <w:t>A13决策执行监督制衡机制</w:t>
            </w:r>
          </w:p>
        </w:tc>
        <w:tc>
          <w:tcPr>
            <w:tcW w:w="850" w:type="dxa"/>
            <w:shd w:val="clear" w:color="auto" w:fill="auto"/>
            <w:vAlign w:val="center"/>
          </w:tcPr>
          <w:p w14:paraId="1F9C51A7">
            <w:pPr>
              <w:widowControl/>
              <w:jc w:val="center"/>
              <w:rPr>
                <w:rFonts w:ascii="Times New Roman" w:hAnsi="Times New Roman"/>
                <w:kern w:val="0"/>
                <w:sz w:val="24"/>
                <w:szCs w:val="24"/>
              </w:rPr>
            </w:pPr>
            <w:r>
              <w:rPr>
                <w:rFonts w:ascii="Times New Roman" w:hAnsi="Times New Roman" w:eastAsia="仿宋"/>
                <w:kern w:val="0"/>
                <w:sz w:val="24"/>
                <w:szCs w:val="24"/>
              </w:rPr>
              <w:t>1</w:t>
            </w:r>
          </w:p>
        </w:tc>
        <w:tc>
          <w:tcPr>
            <w:tcW w:w="676" w:type="dxa"/>
            <w:vAlign w:val="center"/>
          </w:tcPr>
          <w:p w14:paraId="5E0426B5">
            <w:pPr>
              <w:widowControl/>
              <w:jc w:val="center"/>
              <w:rPr>
                <w:rFonts w:ascii="Times New Roman" w:hAnsi="Times New Roman"/>
                <w:kern w:val="0"/>
                <w:sz w:val="24"/>
                <w:szCs w:val="24"/>
              </w:rPr>
            </w:pPr>
            <w:r>
              <w:rPr>
                <w:rFonts w:ascii="Times New Roman" w:hAnsi="Times New Roman" w:eastAsia="仿宋"/>
                <w:kern w:val="0"/>
                <w:sz w:val="24"/>
                <w:szCs w:val="24"/>
              </w:rPr>
              <w:t>1</w:t>
            </w:r>
          </w:p>
        </w:tc>
        <w:tc>
          <w:tcPr>
            <w:tcW w:w="3260" w:type="dxa"/>
            <w:shd w:val="clear" w:color="auto" w:fill="auto"/>
            <w:vAlign w:val="center"/>
          </w:tcPr>
          <w:p w14:paraId="2C82E302">
            <w:pPr>
              <w:widowControl/>
              <w:jc w:val="left"/>
              <w:rPr>
                <w:rFonts w:ascii="Times New Roman" w:hAnsi="Times New Roman"/>
                <w:kern w:val="0"/>
                <w:sz w:val="24"/>
                <w:szCs w:val="24"/>
              </w:rPr>
            </w:pPr>
            <w:r>
              <w:rPr>
                <w:rFonts w:ascii="Times New Roman" w:hAnsi="Times New Roman" w:eastAsia="仿宋"/>
                <w:kern w:val="0"/>
                <w:sz w:val="24"/>
                <w:szCs w:val="24"/>
              </w:rPr>
              <w:t>决策执行监督互相制衡</w:t>
            </w:r>
          </w:p>
        </w:tc>
      </w:tr>
      <w:tr w14:paraId="426AF9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4EBEB2A0">
            <w:pPr>
              <w:widowControl/>
              <w:jc w:val="left"/>
              <w:rPr>
                <w:rFonts w:ascii="Times New Roman" w:hAnsi="Times New Roman"/>
                <w:kern w:val="0"/>
                <w:sz w:val="24"/>
                <w:szCs w:val="24"/>
              </w:rPr>
            </w:pPr>
          </w:p>
        </w:tc>
        <w:tc>
          <w:tcPr>
            <w:tcW w:w="2123" w:type="dxa"/>
            <w:vMerge w:val="restart"/>
            <w:shd w:val="clear" w:color="auto" w:fill="auto"/>
            <w:vAlign w:val="center"/>
          </w:tcPr>
          <w:p w14:paraId="32676647">
            <w:pPr>
              <w:widowControl/>
              <w:jc w:val="left"/>
              <w:rPr>
                <w:rFonts w:ascii="Times New Roman" w:hAnsi="Times New Roman"/>
                <w:kern w:val="0"/>
                <w:sz w:val="24"/>
                <w:szCs w:val="24"/>
              </w:rPr>
            </w:pPr>
            <w:r>
              <w:rPr>
                <w:rFonts w:ascii="Times New Roman" w:hAnsi="Times New Roman" w:eastAsia="仿宋"/>
                <w:kern w:val="0"/>
                <w:sz w:val="24"/>
                <w:szCs w:val="24"/>
              </w:rPr>
              <w:t>A2中长期规划（2分）</w:t>
            </w:r>
          </w:p>
        </w:tc>
        <w:tc>
          <w:tcPr>
            <w:tcW w:w="3828" w:type="dxa"/>
            <w:shd w:val="clear" w:color="auto" w:fill="auto"/>
            <w:vAlign w:val="center"/>
          </w:tcPr>
          <w:p w14:paraId="70BBC7F7">
            <w:pPr>
              <w:widowControl/>
              <w:jc w:val="left"/>
              <w:rPr>
                <w:rFonts w:ascii="Times New Roman" w:hAnsi="Times New Roman"/>
                <w:kern w:val="0"/>
                <w:sz w:val="24"/>
                <w:szCs w:val="24"/>
              </w:rPr>
            </w:pPr>
            <w:r>
              <w:rPr>
                <w:rFonts w:ascii="Times New Roman" w:hAnsi="Times New Roman" w:eastAsia="仿宋"/>
                <w:kern w:val="0"/>
                <w:sz w:val="24"/>
                <w:szCs w:val="24"/>
              </w:rPr>
              <w:t>A21中长期规划明确性</w:t>
            </w:r>
          </w:p>
        </w:tc>
        <w:tc>
          <w:tcPr>
            <w:tcW w:w="850" w:type="dxa"/>
            <w:shd w:val="clear" w:color="auto" w:fill="auto"/>
            <w:vAlign w:val="center"/>
          </w:tcPr>
          <w:p w14:paraId="70A7BA9B">
            <w:pPr>
              <w:widowControl/>
              <w:jc w:val="center"/>
              <w:rPr>
                <w:rFonts w:ascii="Times New Roman" w:hAnsi="Times New Roman"/>
                <w:kern w:val="0"/>
                <w:sz w:val="24"/>
                <w:szCs w:val="24"/>
              </w:rPr>
            </w:pPr>
            <w:r>
              <w:rPr>
                <w:rFonts w:ascii="Times New Roman" w:hAnsi="Times New Roman" w:eastAsia="仿宋"/>
                <w:kern w:val="0"/>
                <w:sz w:val="24"/>
                <w:szCs w:val="24"/>
              </w:rPr>
              <w:t>1</w:t>
            </w:r>
          </w:p>
        </w:tc>
        <w:tc>
          <w:tcPr>
            <w:tcW w:w="676" w:type="dxa"/>
            <w:vAlign w:val="center"/>
          </w:tcPr>
          <w:p w14:paraId="7F66370A">
            <w:pPr>
              <w:widowControl/>
              <w:jc w:val="center"/>
              <w:rPr>
                <w:rFonts w:ascii="Times New Roman" w:hAnsi="Times New Roman"/>
                <w:kern w:val="0"/>
                <w:sz w:val="24"/>
                <w:szCs w:val="24"/>
              </w:rPr>
            </w:pPr>
            <w:r>
              <w:rPr>
                <w:rFonts w:ascii="Times New Roman" w:hAnsi="Times New Roman" w:eastAsia="仿宋"/>
                <w:kern w:val="0"/>
                <w:sz w:val="24"/>
                <w:szCs w:val="24"/>
              </w:rPr>
              <w:t>1</w:t>
            </w:r>
          </w:p>
        </w:tc>
        <w:tc>
          <w:tcPr>
            <w:tcW w:w="3260" w:type="dxa"/>
            <w:shd w:val="clear" w:color="auto" w:fill="auto"/>
            <w:vAlign w:val="center"/>
          </w:tcPr>
          <w:p w14:paraId="08D65520">
            <w:pPr>
              <w:widowControl/>
              <w:jc w:val="left"/>
              <w:rPr>
                <w:rFonts w:ascii="Times New Roman" w:hAnsi="Times New Roman"/>
                <w:kern w:val="0"/>
                <w:sz w:val="24"/>
                <w:szCs w:val="24"/>
              </w:rPr>
            </w:pPr>
            <w:r>
              <w:rPr>
                <w:rFonts w:ascii="Times New Roman" w:hAnsi="Times New Roman" w:eastAsia="仿宋"/>
                <w:kern w:val="0"/>
                <w:sz w:val="24"/>
                <w:szCs w:val="24"/>
              </w:rPr>
              <w:t>中长期规划明确</w:t>
            </w:r>
          </w:p>
        </w:tc>
      </w:tr>
      <w:tr w14:paraId="7D2322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59899B93">
            <w:pPr>
              <w:widowControl/>
              <w:jc w:val="left"/>
              <w:rPr>
                <w:rFonts w:ascii="Times New Roman" w:hAnsi="Times New Roman"/>
                <w:kern w:val="0"/>
                <w:sz w:val="24"/>
                <w:szCs w:val="24"/>
              </w:rPr>
            </w:pPr>
          </w:p>
        </w:tc>
        <w:tc>
          <w:tcPr>
            <w:tcW w:w="2123" w:type="dxa"/>
            <w:vMerge w:val="continue"/>
            <w:vAlign w:val="center"/>
          </w:tcPr>
          <w:p w14:paraId="2EB73621">
            <w:pPr>
              <w:widowControl/>
              <w:jc w:val="left"/>
              <w:rPr>
                <w:rFonts w:ascii="Times New Roman" w:hAnsi="Times New Roman"/>
                <w:kern w:val="0"/>
                <w:sz w:val="24"/>
                <w:szCs w:val="24"/>
              </w:rPr>
            </w:pPr>
          </w:p>
        </w:tc>
        <w:tc>
          <w:tcPr>
            <w:tcW w:w="3828" w:type="dxa"/>
            <w:shd w:val="clear" w:color="auto" w:fill="auto"/>
            <w:vAlign w:val="center"/>
          </w:tcPr>
          <w:p w14:paraId="26DED1C7">
            <w:pPr>
              <w:widowControl/>
              <w:jc w:val="left"/>
              <w:rPr>
                <w:rFonts w:ascii="Times New Roman" w:hAnsi="Times New Roman"/>
                <w:kern w:val="0"/>
                <w:sz w:val="24"/>
                <w:szCs w:val="24"/>
              </w:rPr>
            </w:pPr>
            <w:r>
              <w:rPr>
                <w:rFonts w:ascii="Times New Roman" w:hAnsi="Times New Roman" w:eastAsia="仿宋"/>
                <w:kern w:val="0"/>
                <w:sz w:val="24"/>
                <w:szCs w:val="24"/>
              </w:rPr>
              <w:t>A22中长期规划与部门职能的匹配性</w:t>
            </w:r>
          </w:p>
        </w:tc>
        <w:tc>
          <w:tcPr>
            <w:tcW w:w="850" w:type="dxa"/>
            <w:shd w:val="clear" w:color="auto" w:fill="auto"/>
            <w:vAlign w:val="center"/>
          </w:tcPr>
          <w:p w14:paraId="5EFF104B">
            <w:pPr>
              <w:widowControl/>
              <w:jc w:val="center"/>
              <w:rPr>
                <w:rFonts w:ascii="Times New Roman" w:hAnsi="Times New Roman"/>
                <w:kern w:val="0"/>
                <w:sz w:val="24"/>
                <w:szCs w:val="24"/>
              </w:rPr>
            </w:pPr>
            <w:r>
              <w:rPr>
                <w:rFonts w:ascii="Times New Roman" w:hAnsi="Times New Roman" w:eastAsia="仿宋"/>
                <w:kern w:val="0"/>
                <w:sz w:val="24"/>
                <w:szCs w:val="24"/>
              </w:rPr>
              <w:t>1</w:t>
            </w:r>
          </w:p>
        </w:tc>
        <w:tc>
          <w:tcPr>
            <w:tcW w:w="676" w:type="dxa"/>
            <w:vAlign w:val="center"/>
          </w:tcPr>
          <w:p w14:paraId="200F036A">
            <w:pPr>
              <w:widowControl/>
              <w:jc w:val="center"/>
              <w:rPr>
                <w:rFonts w:ascii="Times New Roman" w:hAnsi="Times New Roman"/>
                <w:kern w:val="0"/>
                <w:sz w:val="24"/>
                <w:szCs w:val="24"/>
              </w:rPr>
            </w:pPr>
            <w:r>
              <w:rPr>
                <w:rFonts w:ascii="Times New Roman" w:hAnsi="Times New Roman" w:eastAsia="仿宋"/>
                <w:kern w:val="0"/>
                <w:sz w:val="24"/>
                <w:szCs w:val="24"/>
              </w:rPr>
              <w:t>1</w:t>
            </w:r>
          </w:p>
        </w:tc>
        <w:tc>
          <w:tcPr>
            <w:tcW w:w="3260" w:type="dxa"/>
            <w:shd w:val="clear" w:color="auto" w:fill="auto"/>
            <w:vAlign w:val="center"/>
          </w:tcPr>
          <w:p w14:paraId="43D369B3">
            <w:pPr>
              <w:widowControl/>
              <w:jc w:val="left"/>
              <w:rPr>
                <w:rFonts w:ascii="Times New Roman" w:hAnsi="Times New Roman"/>
                <w:kern w:val="0"/>
                <w:sz w:val="24"/>
                <w:szCs w:val="24"/>
              </w:rPr>
            </w:pPr>
            <w:r>
              <w:rPr>
                <w:rFonts w:ascii="Times New Roman" w:hAnsi="Times New Roman" w:eastAsia="仿宋"/>
                <w:kern w:val="0"/>
                <w:sz w:val="24"/>
                <w:szCs w:val="24"/>
              </w:rPr>
              <w:t>中长期规划与部门职能匹配</w:t>
            </w:r>
          </w:p>
        </w:tc>
      </w:tr>
      <w:tr w14:paraId="76FE23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511FE490">
            <w:pPr>
              <w:widowControl/>
              <w:jc w:val="left"/>
              <w:rPr>
                <w:rFonts w:ascii="Times New Roman" w:hAnsi="Times New Roman"/>
                <w:kern w:val="0"/>
                <w:sz w:val="24"/>
                <w:szCs w:val="24"/>
              </w:rPr>
            </w:pPr>
          </w:p>
        </w:tc>
        <w:tc>
          <w:tcPr>
            <w:tcW w:w="2123" w:type="dxa"/>
            <w:vMerge w:val="restart"/>
            <w:shd w:val="clear" w:color="auto" w:fill="auto"/>
            <w:vAlign w:val="center"/>
          </w:tcPr>
          <w:p w14:paraId="1B998ADD">
            <w:pPr>
              <w:widowControl/>
              <w:jc w:val="left"/>
              <w:rPr>
                <w:rFonts w:ascii="Times New Roman" w:hAnsi="Times New Roman"/>
                <w:kern w:val="0"/>
                <w:sz w:val="24"/>
                <w:szCs w:val="24"/>
              </w:rPr>
            </w:pPr>
            <w:r>
              <w:rPr>
                <w:rFonts w:ascii="Times New Roman" w:hAnsi="Times New Roman" w:eastAsia="仿宋"/>
                <w:kern w:val="0"/>
                <w:sz w:val="24"/>
                <w:szCs w:val="24"/>
              </w:rPr>
              <w:t>A3年度工作计划（2分）</w:t>
            </w:r>
          </w:p>
        </w:tc>
        <w:tc>
          <w:tcPr>
            <w:tcW w:w="3828" w:type="dxa"/>
            <w:shd w:val="clear" w:color="auto" w:fill="auto"/>
            <w:vAlign w:val="center"/>
          </w:tcPr>
          <w:p w14:paraId="3F93FAEB">
            <w:pPr>
              <w:widowControl/>
              <w:jc w:val="left"/>
              <w:rPr>
                <w:rFonts w:ascii="Times New Roman" w:hAnsi="Times New Roman"/>
                <w:kern w:val="0"/>
                <w:sz w:val="24"/>
                <w:szCs w:val="24"/>
              </w:rPr>
            </w:pPr>
            <w:r>
              <w:rPr>
                <w:rFonts w:ascii="Times New Roman" w:hAnsi="Times New Roman" w:eastAsia="仿宋"/>
                <w:kern w:val="0"/>
                <w:sz w:val="24"/>
                <w:szCs w:val="24"/>
              </w:rPr>
              <w:t>A31年度工作计划明确性</w:t>
            </w:r>
          </w:p>
        </w:tc>
        <w:tc>
          <w:tcPr>
            <w:tcW w:w="850" w:type="dxa"/>
            <w:shd w:val="clear" w:color="auto" w:fill="auto"/>
            <w:vAlign w:val="center"/>
          </w:tcPr>
          <w:p w14:paraId="0C3785B7">
            <w:pPr>
              <w:widowControl/>
              <w:jc w:val="center"/>
              <w:rPr>
                <w:rFonts w:ascii="Times New Roman" w:hAnsi="Times New Roman"/>
                <w:kern w:val="0"/>
                <w:sz w:val="24"/>
                <w:szCs w:val="24"/>
              </w:rPr>
            </w:pPr>
            <w:r>
              <w:rPr>
                <w:rFonts w:ascii="Times New Roman" w:hAnsi="Times New Roman" w:eastAsia="仿宋"/>
                <w:kern w:val="0"/>
                <w:sz w:val="24"/>
                <w:szCs w:val="24"/>
              </w:rPr>
              <w:t>1</w:t>
            </w:r>
          </w:p>
        </w:tc>
        <w:tc>
          <w:tcPr>
            <w:tcW w:w="676" w:type="dxa"/>
            <w:vAlign w:val="center"/>
          </w:tcPr>
          <w:p w14:paraId="25F3150C">
            <w:pPr>
              <w:widowControl/>
              <w:jc w:val="center"/>
              <w:rPr>
                <w:rFonts w:ascii="Times New Roman" w:hAnsi="Times New Roman"/>
                <w:kern w:val="0"/>
                <w:sz w:val="24"/>
                <w:szCs w:val="24"/>
              </w:rPr>
            </w:pPr>
            <w:r>
              <w:rPr>
                <w:rFonts w:ascii="Times New Roman" w:hAnsi="Times New Roman" w:eastAsia="仿宋"/>
                <w:kern w:val="0"/>
                <w:sz w:val="24"/>
                <w:szCs w:val="24"/>
              </w:rPr>
              <w:t>1</w:t>
            </w:r>
          </w:p>
        </w:tc>
        <w:tc>
          <w:tcPr>
            <w:tcW w:w="3260" w:type="dxa"/>
            <w:shd w:val="clear" w:color="auto" w:fill="auto"/>
            <w:vAlign w:val="center"/>
          </w:tcPr>
          <w:p w14:paraId="1389B1CF">
            <w:pPr>
              <w:widowControl/>
              <w:jc w:val="left"/>
              <w:rPr>
                <w:rFonts w:ascii="Times New Roman" w:hAnsi="Times New Roman"/>
                <w:kern w:val="0"/>
                <w:sz w:val="24"/>
                <w:szCs w:val="24"/>
              </w:rPr>
            </w:pPr>
            <w:r>
              <w:rPr>
                <w:rFonts w:ascii="Times New Roman" w:hAnsi="Times New Roman" w:eastAsia="仿宋"/>
                <w:kern w:val="0"/>
                <w:sz w:val="24"/>
                <w:szCs w:val="24"/>
              </w:rPr>
              <w:t>年度工作计划明确</w:t>
            </w:r>
          </w:p>
        </w:tc>
      </w:tr>
      <w:tr w14:paraId="54EC03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658F5C7A">
            <w:pPr>
              <w:widowControl/>
              <w:jc w:val="left"/>
              <w:rPr>
                <w:rFonts w:ascii="Times New Roman" w:hAnsi="Times New Roman"/>
                <w:kern w:val="0"/>
                <w:sz w:val="24"/>
                <w:szCs w:val="24"/>
              </w:rPr>
            </w:pPr>
          </w:p>
        </w:tc>
        <w:tc>
          <w:tcPr>
            <w:tcW w:w="2123" w:type="dxa"/>
            <w:vMerge w:val="continue"/>
            <w:vAlign w:val="center"/>
          </w:tcPr>
          <w:p w14:paraId="23035F6C">
            <w:pPr>
              <w:widowControl/>
              <w:jc w:val="left"/>
              <w:rPr>
                <w:rFonts w:ascii="Times New Roman" w:hAnsi="Times New Roman"/>
                <w:kern w:val="0"/>
                <w:sz w:val="24"/>
                <w:szCs w:val="24"/>
              </w:rPr>
            </w:pPr>
          </w:p>
        </w:tc>
        <w:tc>
          <w:tcPr>
            <w:tcW w:w="3828" w:type="dxa"/>
            <w:shd w:val="clear" w:color="auto" w:fill="auto"/>
            <w:vAlign w:val="center"/>
          </w:tcPr>
          <w:p w14:paraId="3E2594C3">
            <w:pPr>
              <w:widowControl/>
              <w:jc w:val="left"/>
              <w:rPr>
                <w:rFonts w:ascii="Times New Roman" w:hAnsi="Times New Roman"/>
                <w:kern w:val="0"/>
                <w:sz w:val="24"/>
                <w:szCs w:val="24"/>
              </w:rPr>
            </w:pPr>
            <w:r>
              <w:rPr>
                <w:rFonts w:ascii="Times New Roman" w:hAnsi="Times New Roman" w:eastAsia="仿宋"/>
                <w:kern w:val="0"/>
                <w:sz w:val="24"/>
                <w:szCs w:val="24"/>
              </w:rPr>
              <w:t>A32年度工作计划与部门职能的匹配性</w:t>
            </w:r>
          </w:p>
        </w:tc>
        <w:tc>
          <w:tcPr>
            <w:tcW w:w="850" w:type="dxa"/>
            <w:shd w:val="clear" w:color="auto" w:fill="auto"/>
            <w:vAlign w:val="center"/>
          </w:tcPr>
          <w:p w14:paraId="1E5507C9">
            <w:pPr>
              <w:widowControl/>
              <w:jc w:val="center"/>
              <w:rPr>
                <w:rFonts w:ascii="Times New Roman" w:hAnsi="Times New Roman"/>
                <w:kern w:val="0"/>
                <w:sz w:val="24"/>
                <w:szCs w:val="24"/>
              </w:rPr>
            </w:pPr>
            <w:r>
              <w:rPr>
                <w:rFonts w:ascii="Times New Roman" w:hAnsi="Times New Roman" w:eastAsia="仿宋"/>
                <w:kern w:val="0"/>
                <w:sz w:val="24"/>
                <w:szCs w:val="24"/>
              </w:rPr>
              <w:t>1</w:t>
            </w:r>
          </w:p>
        </w:tc>
        <w:tc>
          <w:tcPr>
            <w:tcW w:w="676" w:type="dxa"/>
            <w:vAlign w:val="center"/>
          </w:tcPr>
          <w:p w14:paraId="7235C0A0">
            <w:pPr>
              <w:widowControl/>
              <w:jc w:val="center"/>
              <w:rPr>
                <w:rFonts w:ascii="Times New Roman" w:hAnsi="Times New Roman"/>
                <w:kern w:val="0"/>
                <w:sz w:val="24"/>
                <w:szCs w:val="24"/>
              </w:rPr>
            </w:pPr>
            <w:r>
              <w:rPr>
                <w:rFonts w:ascii="Times New Roman" w:hAnsi="Times New Roman" w:eastAsia="仿宋"/>
                <w:kern w:val="0"/>
                <w:sz w:val="24"/>
                <w:szCs w:val="24"/>
              </w:rPr>
              <w:t>1</w:t>
            </w:r>
          </w:p>
        </w:tc>
        <w:tc>
          <w:tcPr>
            <w:tcW w:w="3260" w:type="dxa"/>
            <w:shd w:val="clear" w:color="auto" w:fill="auto"/>
            <w:vAlign w:val="center"/>
          </w:tcPr>
          <w:p w14:paraId="2B7651AC">
            <w:pPr>
              <w:widowControl/>
              <w:jc w:val="left"/>
              <w:rPr>
                <w:rFonts w:ascii="Times New Roman" w:hAnsi="Times New Roman"/>
                <w:kern w:val="0"/>
                <w:sz w:val="24"/>
                <w:szCs w:val="24"/>
              </w:rPr>
            </w:pPr>
            <w:r>
              <w:rPr>
                <w:rFonts w:ascii="Times New Roman" w:hAnsi="Times New Roman" w:eastAsia="仿宋"/>
                <w:kern w:val="0"/>
                <w:sz w:val="24"/>
                <w:szCs w:val="24"/>
              </w:rPr>
              <w:t>年度工作计划与部门职能匹配</w:t>
            </w:r>
          </w:p>
        </w:tc>
      </w:tr>
      <w:tr w14:paraId="09B8BB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337EA152">
            <w:pPr>
              <w:widowControl/>
              <w:jc w:val="left"/>
              <w:rPr>
                <w:rFonts w:ascii="Times New Roman" w:hAnsi="Times New Roman"/>
                <w:kern w:val="0"/>
                <w:sz w:val="24"/>
                <w:szCs w:val="24"/>
              </w:rPr>
            </w:pPr>
          </w:p>
        </w:tc>
        <w:tc>
          <w:tcPr>
            <w:tcW w:w="2123" w:type="dxa"/>
            <w:vMerge w:val="restart"/>
            <w:shd w:val="clear" w:color="auto" w:fill="auto"/>
            <w:vAlign w:val="center"/>
          </w:tcPr>
          <w:p w14:paraId="6DBF5B51">
            <w:pPr>
              <w:widowControl/>
              <w:jc w:val="left"/>
              <w:rPr>
                <w:rFonts w:ascii="Times New Roman" w:hAnsi="Times New Roman"/>
                <w:kern w:val="0"/>
                <w:sz w:val="24"/>
                <w:szCs w:val="24"/>
              </w:rPr>
            </w:pPr>
            <w:r>
              <w:rPr>
                <w:rFonts w:ascii="Times New Roman" w:hAnsi="Times New Roman" w:eastAsia="仿宋"/>
                <w:kern w:val="0"/>
                <w:sz w:val="24"/>
                <w:szCs w:val="24"/>
              </w:rPr>
              <w:t>A4部门预算编制（2分）</w:t>
            </w:r>
          </w:p>
        </w:tc>
        <w:tc>
          <w:tcPr>
            <w:tcW w:w="3828" w:type="dxa"/>
            <w:shd w:val="clear" w:color="auto" w:fill="auto"/>
            <w:vAlign w:val="center"/>
          </w:tcPr>
          <w:p w14:paraId="073E31D9">
            <w:pPr>
              <w:widowControl/>
              <w:jc w:val="left"/>
              <w:rPr>
                <w:rFonts w:ascii="Times New Roman" w:hAnsi="Times New Roman"/>
                <w:kern w:val="0"/>
                <w:sz w:val="24"/>
                <w:szCs w:val="24"/>
              </w:rPr>
            </w:pPr>
            <w:r>
              <w:rPr>
                <w:rFonts w:ascii="Times New Roman" w:hAnsi="Times New Roman" w:eastAsia="仿宋"/>
                <w:kern w:val="0"/>
                <w:sz w:val="24"/>
                <w:szCs w:val="24"/>
              </w:rPr>
              <w:t>A41预算编制科学规范</w:t>
            </w:r>
          </w:p>
        </w:tc>
        <w:tc>
          <w:tcPr>
            <w:tcW w:w="850" w:type="dxa"/>
            <w:shd w:val="clear" w:color="auto" w:fill="auto"/>
            <w:vAlign w:val="center"/>
          </w:tcPr>
          <w:p w14:paraId="0D833236">
            <w:pPr>
              <w:widowControl/>
              <w:jc w:val="center"/>
              <w:rPr>
                <w:rFonts w:ascii="Times New Roman" w:hAnsi="Times New Roman"/>
                <w:kern w:val="0"/>
                <w:sz w:val="24"/>
                <w:szCs w:val="24"/>
              </w:rPr>
            </w:pPr>
            <w:r>
              <w:rPr>
                <w:rFonts w:ascii="Times New Roman" w:hAnsi="Times New Roman" w:eastAsia="仿宋"/>
                <w:kern w:val="0"/>
                <w:sz w:val="24"/>
                <w:szCs w:val="24"/>
              </w:rPr>
              <w:t>1</w:t>
            </w:r>
          </w:p>
        </w:tc>
        <w:tc>
          <w:tcPr>
            <w:tcW w:w="676" w:type="dxa"/>
            <w:vAlign w:val="center"/>
          </w:tcPr>
          <w:p w14:paraId="3901A0CC">
            <w:pPr>
              <w:widowControl/>
              <w:jc w:val="center"/>
              <w:rPr>
                <w:rFonts w:ascii="Times New Roman" w:hAnsi="Times New Roman"/>
                <w:kern w:val="0"/>
                <w:sz w:val="24"/>
                <w:szCs w:val="24"/>
              </w:rPr>
            </w:pPr>
            <w:r>
              <w:rPr>
                <w:rFonts w:ascii="Times New Roman" w:hAnsi="Times New Roman" w:eastAsia="仿宋"/>
                <w:kern w:val="0"/>
                <w:sz w:val="24"/>
                <w:szCs w:val="24"/>
              </w:rPr>
              <w:t>1</w:t>
            </w:r>
          </w:p>
        </w:tc>
        <w:tc>
          <w:tcPr>
            <w:tcW w:w="3260" w:type="dxa"/>
            <w:shd w:val="clear" w:color="auto" w:fill="auto"/>
            <w:vAlign w:val="center"/>
          </w:tcPr>
          <w:p w14:paraId="308F49D3">
            <w:pPr>
              <w:widowControl/>
              <w:jc w:val="left"/>
              <w:rPr>
                <w:rFonts w:ascii="Times New Roman" w:hAnsi="Times New Roman"/>
                <w:kern w:val="0"/>
                <w:sz w:val="24"/>
                <w:szCs w:val="24"/>
              </w:rPr>
            </w:pPr>
            <w:r>
              <w:rPr>
                <w:rFonts w:ascii="Times New Roman" w:hAnsi="Times New Roman" w:eastAsia="仿宋"/>
                <w:kern w:val="0"/>
                <w:sz w:val="24"/>
                <w:szCs w:val="24"/>
              </w:rPr>
              <w:t>预算编制科学</w:t>
            </w:r>
          </w:p>
        </w:tc>
      </w:tr>
      <w:tr w14:paraId="099B13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76F70EE9">
            <w:pPr>
              <w:widowControl/>
              <w:jc w:val="left"/>
              <w:rPr>
                <w:rFonts w:ascii="Times New Roman" w:hAnsi="Times New Roman"/>
                <w:kern w:val="0"/>
                <w:sz w:val="24"/>
                <w:szCs w:val="24"/>
              </w:rPr>
            </w:pPr>
          </w:p>
        </w:tc>
        <w:tc>
          <w:tcPr>
            <w:tcW w:w="2123" w:type="dxa"/>
            <w:vMerge w:val="continue"/>
            <w:vAlign w:val="center"/>
          </w:tcPr>
          <w:p w14:paraId="72C9147D">
            <w:pPr>
              <w:widowControl/>
              <w:jc w:val="left"/>
              <w:rPr>
                <w:rFonts w:ascii="Times New Roman" w:hAnsi="Times New Roman"/>
                <w:kern w:val="0"/>
                <w:sz w:val="24"/>
                <w:szCs w:val="24"/>
              </w:rPr>
            </w:pPr>
          </w:p>
        </w:tc>
        <w:tc>
          <w:tcPr>
            <w:tcW w:w="3828" w:type="dxa"/>
            <w:shd w:val="clear" w:color="auto" w:fill="auto"/>
            <w:vAlign w:val="center"/>
          </w:tcPr>
          <w:p w14:paraId="3BEB8B7A">
            <w:pPr>
              <w:widowControl/>
              <w:jc w:val="left"/>
              <w:rPr>
                <w:rFonts w:ascii="Times New Roman" w:hAnsi="Times New Roman"/>
                <w:kern w:val="0"/>
                <w:sz w:val="24"/>
                <w:szCs w:val="24"/>
              </w:rPr>
            </w:pPr>
            <w:r>
              <w:rPr>
                <w:rFonts w:ascii="Times New Roman" w:hAnsi="Times New Roman" w:eastAsia="仿宋"/>
                <w:kern w:val="0"/>
                <w:sz w:val="24"/>
                <w:szCs w:val="24"/>
              </w:rPr>
              <w:t>A42预算编制与重点工作任务的匹配性</w:t>
            </w:r>
          </w:p>
        </w:tc>
        <w:tc>
          <w:tcPr>
            <w:tcW w:w="850" w:type="dxa"/>
            <w:shd w:val="clear" w:color="auto" w:fill="auto"/>
            <w:vAlign w:val="center"/>
          </w:tcPr>
          <w:p w14:paraId="57C162EB">
            <w:pPr>
              <w:widowControl/>
              <w:jc w:val="center"/>
              <w:rPr>
                <w:rFonts w:ascii="Times New Roman" w:hAnsi="Times New Roman"/>
                <w:kern w:val="0"/>
                <w:sz w:val="24"/>
                <w:szCs w:val="24"/>
              </w:rPr>
            </w:pPr>
            <w:r>
              <w:rPr>
                <w:rFonts w:ascii="Times New Roman" w:hAnsi="Times New Roman" w:eastAsia="仿宋"/>
                <w:kern w:val="0"/>
                <w:sz w:val="24"/>
                <w:szCs w:val="24"/>
              </w:rPr>
              <w:t>1</w:t>
            </w:r>
          </w:p>
        </w:tc>
        <w:tc>
          <w:tcPr>
            <w:tcW w:w="676" w:type="dxa"/>
            <w:vAlign w:val="center"/>
          </w:tcPr>
          <w:p w14:paraId="6818CEB3">
            <w:pPr>
              <w:widowControl/>
              <w:jc w:val="center"/>
              <w:rPr>
                <w:rFonts w:ascii="Times New Roman" w:hAnsi="Times New Roman"/>
                <w:kern w:val="0"/>
                <w:sz w:val="24"/>
                <w:szCs w:val="24"/>
              </w:rPr>
            </w:pPr>
            <w:r>
              <w:rPr>
                <w:rFonts w:ascii="Times New Roman" w:hAnsi="Times New Roman" w:eastAsia="仿宋"/>
                <w:kern w:val="0"/>
                <w:sz w:val="24"/>
                <w:szCs w:val="24"/>
              </w:rPr>
              <w:t>1</w:t>
            </w:r>
          </w:p>
        </w:tc>
        <w:tc>
          <w:tcPr>
            <w:tcW w:w="3260" w:type="dxa"/>
            <w:shd w:val="clear" w:color="auto" w:fill="auto"/>
            <w:vAlign w:val="center"/>
          </w:tcPr>
          <w:p w14:paraId="2BD458B9">
            <w:pPr>
              <w:widowControl/>
              <w:jc w:val="left"/>
              <w:rPr>
                <w:rFonts w:ascii="Times New Roman" w:hAnsi="Times New Roman"/>
                <w:kern w:val="0"/>
                <w:sz w:val="24"/>
                <w:szCs w:val="24"/>
              </w:rPr>
            </w:pPr>
            <w:r>
              <w:rPr>
                <w:rFonts w:ascii="Times New Roman" w:hAnsi="Times New Roman" w:eastAsia="仿宋"/>
                <w:kern w:val="0"/>
                <w:sz w:val="24"/>
                <w:szCs w:val="24"/>
              </w:rPr>
              <w:t>预算编制与重点工作匹配</w:t>
            </w:r>
          </w:p>
        </w:tc>
      </w:tr>
      <w:tr w14:paraId="4BF647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restart"/>
            <w:shd w:val="clear" w:color="auto" w:fill="auto"/>
            <w:noWrap/>
            <w:vAlign w:val="center"/>
          </w:tcPr>
          <w:p w14:paraId="4112A8D0">
            <w:pPr>
              <w:widowControl/>
              <w:jc w:val="left"/>
              <w:rPr>
                <w:rFonts w:ascii="Times New Roman" w:hAnsi="Times New Roman"/>
                <w:kern w:val="0"/>
                <w:sz w:val="24"/>
                <w:szCs w:val="24"/>
              </w:rPr>
            </w:pPr>
          </w:p>
          <w:p w14:paraId="48B5FE10">
            <w:pPr>
              <w:widowControl/>
              <w:jc w:val="left"/>
              <w:rPr>
                <w:rFonts w:ascii="Times New Roman" w:hAnsi="Times New Roman"/>
                <w:kern w:val="0"/>
                <w:sz w:val="24"/>
                <w:szCs w:val="24"/>
              </w:rPr>
            </w:pPr>
          </w:p>
          <w:p w14:paraId="095EAD26">
            <w:pPr>
              <w:widowControl/>
              <w:jc w:val="left"/>
              <w:rPr>
                <w:rFonts w:ascii="Times New Roman" w:hAnsi="Times New Roman"/>
                <w:kern w:val="0"/>
                <w:sz w:val="24"/>
                <w:szCs w:val="24"/>
              </w:rPr>
            </w:pPr>
          </w:p>
          <w:p w14:paraId="2784922D">
            <w:pPr>
              <w:widowControl/>
              <w:jc w:val="left"/>
              <w:rPr>
                <w:rFonts w:ascii="Times New Roman" w:hAnsi="Times New Roman"/>
                <w:kern w:val="0"/>
                <w:sz w:val="24"/>
                <w:szCs w:val="24"/>
              </w:rPr>
            </w:pPr>
          </w:p>
          <w:p w14:paraId="1A5F6FBE">
            <w:pPr>
              <w:widowControl/>
              <w:jc w:val="left"/>
              <w:rPr>
                <w:rFonts w:ascii="Times New Roman" w:hAnsi="Times New Roman"/>
                <w:kern w:val="0"/>
                <w:sz w:val="24"/>
                <w:szCs w:val="24"/>
              </w:rPr>
            </w:pPr>
          </w:p>
          <w:p w14:paraId="4E194C44">
            <w:pPr>
              <w:widowControl/>
              <w:jc w:val="left"/>
              <w:rPr>
                <w:rFonts w:ascii="Times New Roman" w:hAnsi="Times New Roman"/>
                <w:kern w:val="0"/>
                <w:sz w:val="24"/>
                <w:szCs w:val="24"/>
              </w:rPr>
            </w:pPr>
          </w:p>
          <w:p w14:paraId="44F9DB30">
            <w:pPr>
              <w:widowControl/>
              <w:jc w:val="left"/>
              <w:rPr>
                <w:rFonts w:ascii="Times New Roman" w:hAnsi="Times New Roman"/>
                <w:kern w:val="0"/>
                <w:sz w:val="24"/>
                <w:szCs w:val="24"/>
              </w:rPr>
            </w:pPr>
          </w:p>
          <w:p w14:paraId="32853515">
            <w:pPr>
              <w:widowControl/>
              <w:jc w:val="left"/>
              <w:rPr>
                <w:rFonts w:ascii="Times New Roman" w:hAnsi="Times New Roman"/>
                <w:kern w:val="0"/>
                <w:sz w:val="24"/>
                <w:szCs w:val="24"/>
              </w:rPr>
            </w:pPr>
          </w:p>
          <w:p w14:paraId="38ED57A8">
            <w:pPr>
              <w:widowControl/>
              <w:jc w:val="left"/>
              <w:rPr>
                <w:rFonts w:ascii="Times New Roman" w:hAnsi="Times New Roman"/>
                <w:kern w:val="0"/>
                <w:sz w:val="24"/>
                <w:szCs w:val="24"/>
              </w:rPr>
            </w:pPr>
          </w:p>
          <w:p w14:paraId="022170E4">
            <w:pPr>
              <w:widowControl/>
              <w:jc w:val="left"/>
              <w:rPr>
                <w:rFonts w:ascii="Times New Roman" w:hAnsi="Times New Roman"/>
                <w:kern w:val="0"/>
                <w:sz w:val="24"/>
                <w:szCs w:val="24"/>
              </w:rPr>
            </w:pPr>
          </w:p>
          <w:p w14:paraId="4E1B43B4">
            <w:pPr>
              <w:widowControl/>
              <w:jc w:val="left"/>
              <w:rPr>
                <w:rFonts w:ascii="Times New Roman" w:hAnsi="Times New Roman"/>
                <w:kern w:val="0"/>
                <w:sz w:val="24"/>
                <w:szCs w:val="24"/>
              </w:rPr>
            </w:pPr>
          </w:p>
          <w:p w14:paraId="528D1E93">
            <w:pPr>
              <w:widowControl/>
              <w:jc w:val="left"/>
              <w:rPr>
                <w:rFonts w:ascii="Times New Roman" w:hAnsi="Times New Roman"/>
                <w:kern w:val="0"/>
                <w:sz w:val="24"/>
                <w:szCs w:val="24"/>
              </w:rPr>
            </w:pPr>
          </w:p>
          <w:p w14:paraId="38EC2051">
            <w:pPr>
              <w:widowControl/>
              <w:jc w:val="left"/>
              <w:rPr>
                <w:rFonts w:ascii="Times New Roman" w:hAnsi="Times New Roman"/>
                <w:kern w:val="0"/>
                <w:sz w:val="24"/>
                <w:szCs w:val="24"/>
              </w:rPr>
            </w:pPr>
          </w:p>
          <w:p w14:paraId="736FAED5">
            <w:pPr>
              <w:widowControl/>
              <w:jc w:val="left"/>
              <w:rPr>
                <w:rFonts w:ascii="Times New Roman" w:hAnsi="Times New Roman"/>
                <w:kern w:val="0"/>
                <w:sz w:val="24"/>
                <w:szCs w:val="24"/>
              </w:rPr>
            </w:pPr>
          </w:p>
          <w:p w14:paraId="79E84276">
            <w:pPr>
              <w:widowControl/>
              <w:jc w:val="left"/>
              <w:rPr>
                <w:rFonts w:ascii="Times New Roman" w:hAnsi="Times New Roman"/>
                <w:kern w:val="0"/>
                <w:sz w:val="24"/>
                <w:szCs w:val="24"/>
              </w:rPr>
            </w:pPr>
            <w:r>
              <w:rPr>
                <w:rFonts w:ascii="Times New Roman" w:hAnsi="Times New Roman" w:eastAsia="仿宋"/>
                <w:kern w:val="0"/>
                <w:sz w:val="24"/>
                <w:szCs w:val="24"/>
              </w:rPr>
              <w:t>B部门管理（20分）</w:t>
            </w:r>
          </w:p>
        </w:tc>
        <w:tc>
          <w:tcPr>
            <w:tcW w:w="2123" w:type="dxa"/>
            <w:vMerge w:val="restart"/>
            <w:shd w:val="clear" w:color="auto" w:fill="auto"/>
            <w:vAlign w:val="center"/>
          </w:tcPr>
          <w:p w14:paraId="40520EDB">
            <w:pPr>
              <w:widowControl/>
              <w:jc w:val="left"/>
              <w:rPr>
                <w:rFonts w:ascii="Times New Roman" w:hAnsi="Times New Roman"/>
                <w:kern w:val="0"/>
                <w:sz w:val="24"/>
                <w:szCs w:val="24"/>
              </w:rPr>
            </w:pPr>
            <w:r>
              <w:rPr>
                <w:rFonts w:ascii="Times New Roman" w:hAnsi="Times New Roman" w:eastAsia="仿宋"/>
                <w:kern w:val="0"/>
                <w:sz w:val="24"/>
                <w:szCs w:val="24"/>
              </w:rPr>
              <w:t>B1预算执行（5分）</w:t>
            </w:r>
          </w:p>
        </w:tc>
        <w:tc>
          <w:tcPr>
            <w:tcW w:w="3828" w:type="dxa"/>
            <w:shd w:val="clear" w:color="auto" w:fill="auto"/>
            <w:vAlign w:val="center"/>
          </w:tcPr>
          <w:p w14:paraId="5AEAAAED">
            <w:pPr>
              <w:widowControl/>
              <w:jc w:val="left"/>
              <w:rPr>
                <w:rFonts w:ascii="Times New Roman" w:hAnsi="Times New Roman"/>
                <w:kern w:val="0"/>
                <w:sz w:val="24"/>
                <w:szCs w:val="24"/>
              </w:rPr>
            </w:pPr>
            <w:r>
              <w:rPr>
                <w:rFonts w:ascii="Times New Roman" w:hAnsi="Times New Roman" w:eastAsia="仿宋"/>
                <w:kern w:val="0"/>
                <w:sz w:val="24"/>
                <w:szCs w:val="24"/>
              </w:rPr>
              <w:t>B11部门预算执行率</w:t>
            </w:r>
          </w:p>
        </w:tc>
        <w:tc>
          <w:tcPr>
            <w:tcW w:w="850" w:type="dxa"/>
            <w:shd w:val="clear" w:color="auto" w:fill="auto"/>
            <w:vAlign w:val="center"/>
          </w:tcPr>
          <w:p w14:paraId="19A7278B">
            <w:pPr>
              <w:widowControl/>
              <w:jc w:val="center"/>
              <w:rPr>
                <w:rFonts w:ascii="Times New Roman" w:hAnsi="Times New Roman"/>
                <w:kern w:val="0"/>
                <w:sz w:val="24"/>
                <w:szCs w:val="24"/>
              </w:rPr>
            </w:pPr>
            <w:r>
              <w:rPr>
                <w:rFonts w:ascii="Times New Roman" w:hAnsi="Times New Roman" w:eastAsia="仿宋"/>
                <w:kern w:val="0"/>
                <w:sz w:val="24"/>
                <w:szCs w:val="24"/>
              </w:rPr>
              <w:t>1</w:t>
            </w:r>
          </w:p>
        </w:tc>
        <w:tc>
          <w:tcPr>
            <w:tcW w:w="676" w:type="dxa"/>
            <w:vAlign w:val="center"/>
          </w:tcPr>
          <w:p w14:paraId="750DED6F">
            <w:pPr>
              <w:widowControl/>
              <w:jc w:val="center"/>
              <w:rPr>
                <w:rFonts w:ascii="Times New Roman" w:hAnsi="Times New Roman"/>
                <w:kern w:val="0"/>
                <w:sz w:val="24"/>
                <w:szCs w:val="24"/>
              </w:rPr>
            </w:pPr>
            <w:r>
              <w:rPr>
                <w:rFonts w:ascii="Times New Roman" w:hAnsi="Times New Roman" w:eastAsia="仿宋"/>
                <w:kern w:val="0"/>
                <w:sz w:val="24"/>
                <w:szCs w:val="24"/>
              </w:rPr>
              <w:t>1</w:t>
            </w:r>
          </w:p>
        </w:tc>
        <w:tc>
          <w:tcPr>
            <w:tcW w:w="3260" w:type="dxa"/>
            <w:shd w:val="clear" w:color="auto" w:fill="auto"/>
            <w:vAlign w:val="center"/>
          </w:tcPr>
          <w:p w14:paraId="60C5C741">
            <w:pPr>
              <w:widowControl/>
              <w:jc w:val="left"/>
              <w:rPr>
                <w:rFonts w:ascii="Times New Roman" w:hAnsi="Times New Roman"/>
                <w:kern w:val="0"/>
                <w:sz w:val="24"/>
                <w:szCs w:val="24"/>
              </w:rPr>
            </w:pPr>
            <w:r>
              <w:rPr>
                <w:rFonts w:ascii="Times New Roman" w:hAnsi="Times New Roman" w:eastAsia="仿宋"/>
                <w:kern w:val="0"/>
                <w:sz w:val="24"/>
                <w:szCs w:val="24"/>
              </w:rPr>
              <w:t>执行率是否达标</w:t>
            </w:r>
          </w:p>
        </w:tc>
      </w:tr>
      <w:tr w14:paraId="08EEB3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72842540">
            <w:pPr>
              <w:widowControl/>
              <w:jc w:val="left"/>
              <w:rPr>
                <w:rFonts w:ascii="Times New Roman" w:hAnsi="Times New Roman"/>
                <w:kern w:val="0"/>
                <w:sz w:val="24"/>
                <w:szCs w:val="24"/>
              </w:rPr>
            </w:pPr>
          </w:p>
        </w:tc>
        <w:tc>
          <w:tcPr>
            <w:tcW w:w="2123" w:type="dxa"/>
            <w:vMerge w:val="continue"/>
            <w:vAlign w:val="center"/>
          </w:tcPr>
          <w:p w14:paraId="174B6338">
            <w:pPr>
              <w:widowControl/>
              <w:jc w:val="left"/>
              <w:rPr>
                <w:rFonts w:ascii="Times New Roman" w:hAnsi="Times New Roman"/>
                <w:kern w:val="0"/>
                <w:sz w:val="24"/>
                <w:szCs w:val="24"/>
              </w:rPr>
            </w:pPr>
          </w:p>
        </w:tc>
        <w:tc>
          <w:tcPr>
            <w:tcW w:w="3828" w:type="dxa"/>
            <w:shd w:val="clear" w:color="auto" w:fill="auto"/>
            <w:vAlign w:val="center"/>
          </w:tcPr>
          <w:p w14:paraId="43203A9A">
            <w:pPr>
              <w:widowControl/>
              <w:jc w:val="left"/>
              <w:rPr>
                <w:rFonts w:ascii="Times New Roman" w:hAnsi="Times New Roman"/>
                <w:kern w:val="0"/>
                <w:sz w:val="24"/>
                <w:szCs w:val="24"/>
              </w:rPr>
            </w:pPr>
            <w:r>
              <w:rPr>
                <w:rFonts w:ascii="Times New Roman" w:hAnsi="Times New Roman" w:eastAsia="仿宋"/>
                <w:kern w:val="0"/>
                <w:sz w:val="24"/>
                <w:szCs w:val="24"/>
              </w:rPr>
              <w:t>B12专项资金执行率</w:t>
            </w:r>
          </w:p>
        </w:tc>
        <w:tc>
          <w:tcPr>
            <w:tcW w:w="850" w:type="dxa"/>
            <w:shd w:val="clear" w:color="auto" w:fill="auto"/>
            <w:vAlign w:val="center"/>
          </w:tcPr>
          <w:p w14:paraId="4D5D3EFC">
            <w:pPr>
              <w:widowControl/>
              <w:jc w:val="center"/>
              <w:rPr>
                <w:rFonts w:ascii="Times New Roman" w:hAnsi="Times New Roman"/>
                <w:kern w:val="0"/>
                <w:sz w:val="24"/>
                <w:szCs w:val="24"/>
              </w:rPr>
            </w:pPr>
            <w:r>
              <w:rPr>
                <w:rFonts w:ascii="Times New Roman" w:hAnsi="Times New Roman" w:eastAsia="仿宋"/>
                <w:kern w:val="0"/>
                <w:sz w:val="24"/>
                <w:szCs w:val="24"/>
              </w:rPr>
              <w:t>2</w:t>
            </w:r>
          </w:p>
        </w:tc>
        <w:tc>
          <w:tcPr>
            <w:tcW w:w="676" w:type="dxa"/>
            <w:vAlign w:val="center"/>
          </w:tcPr>
          <w:p w14:paraId="319578BE">
            <w:pPr>
              <w:widowControl/>
              <w:jc w:val="center"/>
              <w:rPr>
                <w:rFonts w:ascii="Times New Roman" w:hAnsi="Times New Roman"/>
                <w:kern w:val="0"/>
                <w:sz w:val="24"/>
                <w:szCs w:val="24"/>
              </w:rPr>
            </w:pPr>
            <w:r>
              <w:rPr>
                <w:rFonts w:hint="eastAsia" w:ascii="Times New Roman" w:hAnsi="Times New Roman" w:eastAsia="仿宋"/>
                <w:kern w:val="0"/>
                <w:sz w:val="24"/>
                <w:szCs w:val="24"/>
              </w:rPr>
              <w:t>2</w:t>
            </w:r>
          </w:p>
        </w:tc>
        <w:tc>
          <w:tcPr>
            <w:tcW w:w="3260" w:type="dxa"/>
            <w:shd w:val="clear" w:color="auto" w:fill="auto"/>
            <w:vAlign w:val="center"/>
          </w:tcPr>
          <w:p w14:paraId="508459DF">
            <w:pPr>
              <w:widowControl/>
              <w:jc w:val="left"/>
              <w:rPr>
                <w:rFonts w:ascii="Times New Roman" w:hAnsi="Times New Roman"/>
                <w:kern w:val="0"/>
                <w:sz w:val="24"/>
                <w:szCs w:val="24"/>
              </w:rPr>
            </w:pPr>
            <w:r>
              <w:rPr>
                <w:rFonts w:ascii="Times New Roman" w:hAnsi="Times New Roman" w:eastAsia="仿宋"/>
                <w:kern w:val="0"/>
                <w:sz w:val="24"/>
                <w:szCs w:val="24"/>
              </w:rPr>
              <w:t>执行率是否达标</w:t>
            </w:r>
          </w:p>
        </w:tc>
      </w:tr>
      <w:tr w14:paraId="43041C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7B98E04F">
            <w:pPr>
              <w:widowControl/>
              <w:jc w:val="left"/>
              <w:rPr>
                <w:rFonts w:ascii="Times New Roman" w:hAnsi="Times New Roman"/>
                <w:kern w:val="0"/>
                <w:sz w:val="24"/>
                <w:szCs w:val="24"/>
              </w:rPr>
            </w:pPr>
          </w:p>
        </w:tc>
        <w:tc>
          <w:tcPr>
            <w:tcW w:w="2123" w:type="dxa"/>
            <w:vMerge w:val="continue"/>
            <w:vAlign w:val="center"/>
          </w:tcPr>
          <w:p w14:paraId="0992AD55">
            <w:pPr>
              <w:widowControl/>
              <w:jc w:val="left"/>
              <w:rPr>
                <w:rFonts w:ascii="Times New Roman" w:hAnsi="Times New Roman"/>
                <w:kern w:val="0"/>
                <w:sz w:val="24"/>
                <w:szCs w:val="24"/>
              </w:rPr>
            </w:pPr>
          </w:p>
        </w:tc>
        <w:tc>
          <w:tcPr>
            <w:tcW w:w="3828" w:type="dxa"/>
            <w:shd w:val="clear" w:color="auto" w:fill="auto"/>
            <w:vAlign w:val="center"/>
          </w:tcPr>
          <w:p w14:paraId="629F94A5">
            <w:pPr>
              <w:widowControl/>
              <w:jc w:val="left"/>
              <w:rPr>
                <w:rFonts w:ascii="Times New Roman" w:hAnsi="Times New Roman"/>
                <w:kern w:val="0"/>
                <w:sz w:val="24"/>
                <w:szCs w:val="24"/>
              </w:rPr>
            </w:pPr>
            <w:r>
              <w:rPr>
                <w:rFonts w:ascii="Times New Roman" w:hAnsi="Times New Roman" w:eastAsia="仿宋"/>
                <w:kern w:val="0"/>
                <w:sz w:val="24"/>
                <w:szCs w:val="24"/>
              </w:rPr>
              <w:t>B13“三公”经费控制率</w:t>
            </w:r>
          </w:p>
        </w:tc>
        <w:tc>
          <w:tcPr>
            <w:tcW w:w="850" w:type="dxa"/>
            <w:shd w:val="clear" w:color="auto" w:fill="auto"/>
            <w:vAlign w:val="center"/>
          </w:tcPr>
          <w:p w14:paraId="54715C10">
            <w:pPr>
              <w:widowControl/>
              <w:jc w:val="center"/>
              <w:rPr>
                <w:rFonts w:ascii="Times New Roman" w:hAnsi="Times New Roman"/>
                <w:kern w:val="0"/>
                <w:sz w:val="24"/>
                <w:szCs w:val="24"/>
              </w:rPr>
            </w:pPr>
            <w:r>
              <w:rPr>
                <w:rFonts w:ascii="Times New Roman" w:hAnsi="Times New Roman" w:eastAsia="仿宋"/>
                <w:kern w:val="0"/>
                <w:sz w:val="24"/>
                <w:szCs w:val="24"/>
              </w:rPr>
              <w:t>1</w:t>
            </w:r>
          </w:p>
        </w:tc>
        <w:tc>
          <w:tcPr>
            <w:tcW w:w="676" w:type="dxa"/>
            <w:vAlign w:val="center"/>
          </w:tcPr>
          <w:p w14:paraId="2E00D418">
            <w:pPr>
              <w:widowControl/>
              <w:jc w:val="center"/>
              <w:rPr>
                <w:rFonts w:ascii="Times New Roman" w:hAnsi="Times New Roman"/>
                <w:kern w:val="0"/>
                <w:sz w:val="24"/>
                <w:szCs w:val="24"/>
              </w:rPr>
            </w:pPr>
            <w:r>
              <w:rPr>
                <w:rFonts w:ascii="Times New Roman" w:hAnsi="Times New Roman" w:eastAsia="仿宋"/>
                <w:kern w:val="0"/>
                <w:sz w:val="24"/>
                <w:szCs w:val="24"/>
              </w:rPr>
              <w:t>1</w:t>
            </w:r>
          </w:p>
        </w:tc>
        <w:tc>
          <w:tcPr>
            <w:tcW w:w="3260" w:type="dxa"/>
            <w:shd w:val="clear" w:color="auto" w:fill="auto"/>
            <w:vAlign w:val="center"/>
          </w:tcPr>
          <w:p w14:paraId="4A3E5D5C">
            <w:pPr>
              <w:widowControl/>
              <w:jc w:val="left"/>
              <w:rPr>
                <w:rFonts w:ascii="Times New Roman" w:hAnsi="Times New Roman"/>
                <w:kern w:val="0"/>
                <w:sz w:val="24"/>
                <w:szCs w:val="24"/>
              </w:rPr>
            </w:pPr>
            <w:r>
              <w:rPr>
                <w:rFonts w:ascii="Times New Roman" w:hAnsi="Times New Roman" w:eastAsia="仿宋"/>
                <w:kern w:val="0"/>
                <w:sz w:val="24"/>
                <w:szCs w:val="24"/>
              </w:rPr>
              <w:t>“三公经费”是否超支</w:t>
            </w:r>
          </w:p>
        </w:tc>
      </w:tr>
      <w:tr w14:paraId="45C50C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37EEAD57">
            <w:pPr>
              <w:widowControl/>
              <w:jc w:val="left"/>
              <w:rPr>
                <w:rFonts w:ascii="Times New Roman" w:hAnsi="Times New Roman"/>
                <w:kern w:val="0"/>
                <w:sz w:val="24"/>
                <w:szCs w:val="24"/>
              </w:rPr>
            </w:pPr>
          </w:p>
        </w:tc>
        <w:tc>
          <w:tcPr>
            <w:tcW w:w="2123" w:type="dxa"/>
            <w:vMerge w:val="continue"/>
            <w:vAlign w:val="center"/>
          </w:tcPr>
          <w:p w14:paraId="17E11288">
            <w:pPr>
              <w:widowControl/>
              <w:jc w:val="left"/>
              <w:rPr>
                <w:rFonts w:ascii="Times New Roman" w:hAnsi="Times New Roman"/>
                <w:kern w:val="0"/>
                <w:sz w:val="24"/>
                <w:szCs w:val="24"/>
              </w:rPr>
            </w:pPr>
          </w:p>
        </w:tc>
        <w:tc>
          <w:tcPr>
            <w:tcW w:w="3828" w:type="dxa"/>
            <w:shd w:val="clear" w:color="auto" w:fill="auto"/>
            <w:vAlign w:val="center"/>
          </w:tcPr>
          <w:p w14:paraId="27360EC7">
            <w:pPr>
              <w:widowControl/>
              <w:jc w:val="left"/>
              <w:rPr>
                <w:rFonts w:ascii="Times New Roman" w:hAnsi="Times New Roman"/>
                <w:kern w:val="0"/>
                <w:sz w:val="24"/>
                <w:szCs w:val="24"/>
              </w:rPr>
            </w:pPr>
            <w:r>
              <w:rPr>
                <w:rFonts w:ascii="Times New Roman" w:hAnsi="Times New Roman" w:eastAsia="仿宋"/>
                <w:kern w:val="0"/>
                <w:sz w:val="24"/>
                <w:szCs w:val="24"/>
              </w:rPr>
              <w:t>B14预决算信息公开情况</w:t>
            </w:r>
          </w:p>
        </w:tc>
        <w:tc>
          <w:tcPr>
            <w:tcW w:w="850" w:type="dxa"/>
            <w:shd w:val="clear" w:color="auto" w:fill="auto"/>
            <w:vAlign w:val="center"/>
          </w:tcPr>
          <w:p w14:paraId="117DD37A">
            <w:pPr>
              <w:widowControl/>
              <w:jc w:val="center"/>
              <w:rPr>
                <w:rFonts w:ascii="Times New Roman" w:hAnsi="Times New Roman"/>
                <w:kern w:val="0"/>
                <w:sz w:val="24"/>
                <w:szCs w:val="24"/>
              </w:rPr>
            </w:pPr>
            <w:r>
              <w:rPr>
                <w:rFonts w:ascii="Times New Roman" w:hAnsi="Times New Roman" w:eastAsia="仿宋"/>
                <w:kern w:val="0"/>
                <w:sz w:val="24"/>
                <w:szCs w:val="24"/>
              </w:rPr>
              <w:t>1</w:t>
            </w:r>
          </w:p>
        </w:tc>
        <w:tc>
          <w:tcPr>
            <w:tcW w:w="676" w:type="dxa"/>
            <w:vAlign w:val="center"/>
          </w:tcPr>
          <w:p w14:paraId="77629C32">
            <w:pPr>
              <w:widowControl/>
              <w:jc w:val="center"/>
              <w:rPr>
                <w:rFonts w:ascii="Times New Roman" w:hAnsi="Times New Roman"/>
                <w:kern w:val="0"/>
                <w:sz w:val="24"/>
                <w:szCs w:val="24"/>
              </w:rPr>
            </w:pPr>
            <w:r>
              <w:rPr>
                <w:rFonts w:ascii="Times New Roman" w:hAnsi="Times New Roman" w:eastAsia="仿宋"/>
                <w:kern w:val="0"/>
                <w:sz w:val="24"/>
                <w:szCs w:val="24"/>
              </w:rPr>
              <w:t>1</w:t>
            </w:r>
          </w:p>
        </w:tc>
        <w:tc>
          <w:tcPr>
            <w:tcW w:w="3260" w:type="dxa"/>
            <w:shd w:val="clear" w:color="auto" w:fill="auto"/>
            <w:vAlign w:val="center"/>
          </w:tcPr>
          <w:p w14:paraId="18D46210">
            <w:pPr>
              <w:widowControl/>
              <w:jc w:val="left"/>
              <w:rPr>
                <w:rFonts w:ascii="Times New Roman" w:hAnsi="Times New Roman"/>
                <w:kern w:val="0"/>
                <w:sz w:val="24"/>
                <w:szCs w:val="24"/>
              </w:rPr>
            </w:pPr>
            <w:r>
              <w:rPr>
                <w:rFonts w:ascii="Times New Roman" w:hAnsi="Times New Roman" w:eastAsia="仿宋"/>
                <w:kern w:val="0"/>
                <w:sz w:val="24"/>
                <w:szCs w:val="24"/>
              </w:rPr>
              <w:t>是否在“双平台”进行公开，内容和时限是否符合要求</w:t>
            </w:r>
          </w:p>
        </w:tc>
      </w:tr>
      <w:tr w14:paraId="648062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3396360F">
            <w:pPr>
              <w:widowControl/>
              <w:jc w:val="left"/>
              <w:rPr>
                <w:rFonts w:ascii="Times New Roman" w:hAnsi="Times New Roman"/>
                <w:kern w:val="0"/>
                <w:sz w:val="24"/>
                <w:szCs w:val="24"/>
              </w:rPr>
            </w:pPr>
          </w:p>
        </w:tc>
        <w:tc>
          <w:tcPr>
            <w:tcW w:w="2123" w:type="dxa"/>
            <w:vMerge w:val="restart"/>
            <w:shd w:val="clear" w:color="auto" w:fill="auto"/>
            <w:vAlign w:val="center"/>
          </w:tcPr>
          <w:p w14:paraId="55C702F3">
            <w:pPr>
              <w:widowControl/>
              <w:jc w:val="left"/>
              <w:rPr>
                <w:rFonts w:ascii="Times New Roman" w:hAnsi="Times New Roman"/>
                <w:kern w:val="0"/>
                <w:sz w:val="24"/>
                <w:szCs w:val="24"/>
              </w:rPr>
            </w:pPr>
            <w:r>
              <w:rPr>
                <w:rFonts w:ascii="Times New Roman" w:hAnsi="Times New Roman" w:eastAsia="仿宋"/>
                <w:kern w:val="0"/>
                <w:sz w:val="24"/>
                <w:szCs w:val="24"/>
              </w:rPr>
              <w:t>B2收支管理（2分）</w:t>
            </w:r>
          </w:p>
        </w:tc>
        <w:tc>
          <w:tcPr>
            <w:tcW w:w="3828" w:type="dxa"/>
            <w:shd w:val="clear" w:color="auto" w:fill="auto"/>
            <w:vAlign w:val="center"/>
          </w:tcPr>
          <w:p w14:paraId="51E842CB">
            <w:pPr>
              <w:widowControl/>
              <w:jc w:val="left"/>
              <w:rPr>
                <w:rFonts w:ascii="Times New Roman" w:hAnsi="Times New Roman"/>
                <w:kern w:val="0"/>
                <w:sz w:val="24"/>
                <w:szCs w:val="24"/>
              </w:rPr>
            </w:pPr>
            <w:r>
              <w:rPr>
                <w:rFonts w:ascii="Times New Roman" w:hAnsi="Times New Roman" w:eastAsia="仿宋"/>
                <w:kern w:val="0"/>
                <w:sz w:val="24"/>
                <w:szCs w:val="24"/>
              </w:rPr>
              <w:t>B21收支管理制度健全性</w:t>
            </w:r>
          </w:p>
        </w:tc>
        <w:tc>
          <w:tcPr>
            <w:tcW w:w="850" w:type="dxa"/>
            <w:shd w:val="clear" w:color="auto" w:fill="auto"/>
            <w:vAlign w:val="center"/>
          </w:tcPr>
          <w:p w14:paraId="3A61ECB3">
            <w:pPr>
              <w:widowControl/>
              <w:jc w:val="center"/>
              <w:rPr>
                <w:rFonts w:ascii="Times New Roman" w:hAnsi="Times New Roman"/>
                <w:kern w:val="0"/>
                <w:sz w:val="24"/>
                <w:szCs w:val="24"/>
              </w:rPr>
            </w:pPr>
            <w:r>
              <w:rPr>
                <w:rFonts w:ascii="Times New Roman" w:hAnsi="Times New Roman" w:eastAsia="仿宋"/>
                <w:kern w:val="0"/>
                <w:sz w:val="24"/>
                <w:szCs w:val="24"/>
              </w:rPr>
              <w:t>1</w:t>
            </w:r>
          </w:p>
        </w:tc>
        <w:tc>
          <w:tcPr>
            <w:tcW w:w="676" w:type="dxa"/>
            <w:vAlign w:val="center"/>
          </w:tcPr>
          <w:p w14:paraId="5366A233">
            <w:pPr>
              <w:widowControl/>
              <w:jc w:val="center"/>
              <w:rPr>
                <w:rFonts w:ascii="Times New Roman" w:hAnsi="Times New Roman"/>
                <w:kern w:val="0"/>
                <w:sz w:val="24"/>
                <w:szCs w:val="24"/>
              </w:rPr>
            </w:pPr>
            <w:r>
              <w:rPr>
                <w:rFonts w:ascii="Times New Roman" w:hAnsi="Times New Roman" w:eastAsia="仿宋"/>
                <w:kern w:val="0"/>
                <w:sz w:val="24"/>
                <w:szCs w:val="24"/>
              </w:rPr>
              <w:t>1</w:t>
            </w:r>
          </w:p>
        </w:tc>
        <w:tc>
          <w:tcPr>
            <w:tcW w:w="3260" w:type="dxa"/>
            <w:shd w:val="clear" w:color="auto" w:fill="auto"/>
            <w:vAlign w:val="center"/>
          </w:tcPr>
          <w:p w14:paraId="36DBFD73">
            <w:pPr>
              <w:widowControl/>
              <w:jc w:val="left"/>
              <w:rPr>
                <w:rFonts w:ascii="Times New Roman" w:hAnsi="Times New Roman"/>
                <w:kern w:val="0"/>
                <w:sz w:val="24"/>
                <w:szCs w:val="24"/>
              </w:rPr>
            </w:pPr>
            <w:r>
              <w:rPr>
                <w:rFonts w:ascii="Times New Roman" w:hAnsi="Times New Roman" w:eastAsia="仿宋"/>
                <w:kern w:val="0"/>
                <w:sz w:val="24"/>
                <w:szCs w:val="24"/>
              </w:rPr>
              <w:t>收支管理制度健全</w:t>
            </w:r>
          </w:p>
        </w:tc>
      </w:tr>
      <w:tr w14:paraId="4F2EAC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0D0C6F4B">
            <w:pPr>
              <w:widowControl/>
              <w:jc w:val="left"/>
              <w:rPr>
                <w:rFonts w:ascii="Times New Roman" w:hAnsi="Times New Roman"/>
                <w:kern w:val="0"/>
                <w:sz w:val="24"/>
                <w:szCs w:val="24"/>
              </w:rPr>
            </w:pPr>
          </w:p>
        </w:tc>
        <w:tc>
          <w:tcPr>
            <w:tcW w:w="2123" w:type="dxa"/>
            <w:vMerge w:val="continue"/>
            <w:vAlign w:val="center"/>
          </w:tcPr>
          <w:p w14:paraId="74AC8141">
            <w:pPr>
              <w:widowControl/>
              <w:jc w:val="left"/>
              <w:rPr>
                <w:rFonts w:ascii="Times New Roman" w:hAnsi="Times New Roman"/>
                <w:kern w:val="0"/>
                <w:sz w:val="24"/>
                <w:szCs w:val="24"/>
              </w:rPr>
            </w:pPr>
          </w:p>
        </w:tc>
        <w:tc>
          <w:tcPr>
            <w:tcW w:w="3828" w:type="dxa"/>
            <w:shd w:val="clear" w:color="auto" w:fill="auto"/>
            <w:vAlign w:val="center"/>
          </w:tcPr>
          <w:p w14:paraId="33888556">
            <w:pPr>
              <w:widowControl/>
              <w:jc w:val="left"/>
              <w:rPr>
                <w:rFonts w:ascii="Times New Roman" w:hAnsi="Times New Roman"/>
                <w:kern w:val="0"/>
                <w:sz w:val="24"/>
                <w:szCs w:val="24"/>
              </w:rPr>
            </w:pPr>
            <w:r>
              <w:rPr>
                <w:rFonts w:ascii="Times New Roman" w:hAnsi="Times New Roman" w:eastAsia="仿宋"/>
                <w:kern w:val="0"/>
                <w:sz w:val="24"/>
                <w:szCs w:val="24"/>
              </w:rPr>
              <w:t>B22收支管理是否按制度执行</w:t>
            </w:r>
          </w:p>
        </w:tc>
        <w:tc>
          <w:tcPr>
            <w:tcW w:w="850" w:type="dxa"/>
            <w:shd w:val="clear" w:color="auto" w:fill="auto"/>
            <w:vAlign w:val="center"/>
          </w:tcPr>
          <w:p w14:paraId="0CD08D3F">
            <w:pPr>
              <w:widowControl/>
              <w:jc w:val="center"/>
              <w:rPr>
                <w:rFonts w:ascii="Times New Roman" w:hAnsi="Times New Roman"/>
                <w:kern w:val="0"/>
                <w:sz w:val="24"/>
                <w:szCs w:val="24"/>
              </w:rPr>
            </w:pPr>
            <w:r>
              <w:rPr>
                <w:rFonts w:ascii="Times New Roman" w:hAnsi="Times New Roman" w:eastAsia="仿宋"/>
                <w:kern w:val="0"/>
                <w:sz w:val="24"/>
                <w:szCs w:val="24"/>
              </w:rPr>
              <w:t>1</w:t>
            </w:r>
          </w:p>
        </w:tc>
        <w:tc>
          <w:tcPr>
            <w:tcW w:w="676" w:type="dxa"/>
            <w:vAlign w:val="center"/>
          </w:tcPr>
          <w:p w14:paraId="77D76148">
            <w:pPr>
              <w:widowControl/>
              <w:jc w:val="center"/>
              <w:rPr>
                <w:rFonts w:ascii="Times New Roman" w:hAnsi="Times New Roman"/>
                <w:kern w:val="0"/>
                <w:sz w:val="24"/>
                <w:szCs w:val="24"/>
              </w:rPr>
            </w:pPr>
            <w:r>
              <w:rPr>
                <w:rFonts w:ascii="Times New Roman" w:hAnsi="Times New Roman" w:eastAsia="仿宋"/>
                <w:kern w:val="0"/>
                <w:sz w:val="24"/>
                <w:szCs w:val="24"/>
              </w:rPr>
              <w:t>1</w:t>
            </w:r>
          </w:p>
        </w:tc>
        <w:tc>
          <w:tcPr>
            <w:tcW w:w="3260" w:type="dxa"/>
            <w:shd w:val="clear" w:color="auto" w:fill="auto"/>
            <w:vAlign w:val="center"/>
          </w:tcPr>
          <w:p w14:paraId="701183AD">
            <w:pPr>
              <w:widowControl/>
              <w:jc w:val="left"/>
              <w:rPr>
                <w:rFonts w:ascii="Times New Roman" w:hAnsi="Times New Roman"/>
                <w:kern w:val="0"/>
                <w:sz w:val="24"/>
                <w:szCs w:val="24"/>
              </w:rPr>
            </w:pPr>
            <w:r>
              <w:rPr>
                <w:rFonts w:ascii="Times New Roman" w:hAnsi="Times New Roman" w:eastAsia="仿宋"/>
                <w:kern w:val="0"/>
                <w:sz w:val="24"/>
                <w:szCs w:val="24"/>
              </w:rPr>
              <w:t>收支管理按制度执行</w:t>
            </w:r>
          </w:p>
        </w:tc>
      </w:tr>
      <w:tr w14:paraId="0E868D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1C0E7DE0">
            <w:pPr>
              <w:widowControl/>
              <w:jc w:val="left"/>
              <w:rPr>
                <w:rFonts w:ascii="Times New Roman" w:hAnsi="Times New Roman"/>
                <w:kern w:val="0"/>
                <w:sz w:val="24"/>
                <w:szCs w:val="24"/>
              </w:rPr>
            </w:pPr>
          </w:p>
        </w:tc>
        <w:tc>
          <w:tcPr>
            <w:tcW w:w="2123" w:type="dxa"/>
            <w:vMerge w:val="restart"/>
            <w:shd w:val="clear" w:color="auto" w:fill="auto"/>
            <w:vAlign w:val="center"/>
          </w:tcPr>
          <w:p w14:paraId="6352A8CF">
            <w:pPr>
              <w:widowControl/>
              <w:jc w:val="left"/>
              <w:rPr>
                <w:rFonts w:ascii="Times New Roman" w:hAnsi="Times New Roman"/>
                <w:kern w:val="0"/>
                <w:sz w:val="24"/>
                <w:szCs w:val="24"/>
              </w:rPr>
            </w:pPr>
            <w:r>
              <w:rPr>
                <w:rFonts w:ascii="Times New Roman" w:hAnsi="Times New Roman" w:eastAsia="仿宋"/>
                <w:kern w:val="0"/>
                <w:sz w:val="24"/>
                <w:szCs w:val="24"/>
              </w:rPr>
              <w:t>B3资产管理（2分）</w:t>
            </w:r>
          </w:p>
        </w:tc>
        <w:tc>
          <w:tcPr>
            <w:tcW w:w="3828" w:type="dxa"/>
            <w:shd w:val="clear" w:color="auto" w:fill="auto"/>
            <w:vAlign w:val="center"/>
          </w:tcPr>
          <w:p w14:paraId="2A71B110">
            <w:pPr>
              <w:widowControl/>
              <w:jc w:val="left"/>
              <w:rPr>
                <w:rFonts w:ascii="Times New Roman" w:hAnsi="Times New Roman"/>
                <w:kern w:val="0"/>
                <w:sz w:val="24"/>
                <w:szCs w:val="24"/>
              </w:rPr>
            </w:pPr>
            <w:r>
              <w:rPr>
                <w:rFonts w:ascii="Times New Roman" w:hAnsi="Times New Roman" w:eastAsia="仿宋"/>
                <w:kern w:val="0"/>
                <w:sz w:val="24"/>
                <w:szCs w:val="24"/>
              </w:rPr>
              <w:t>B31资产管理制度健全性</w:t>
            </w:r>
          </w:p>
        </w:tc>
        <w:tc>
          <w:tcPr>
            <w:tcW w:w="850" w:type="dxa"/>
            <w:shd w:val="clear" w:color="auto" w:fill="auto"/>
            <w:vAlign w:val="center"/>
          </w:tcPr>
          <w:p w14:paraId="68412C77">
            <w:pPr>
              <w:widowControl/>
              <w:jc w:val="center"/>
              <w:rPr>
                <w:rFonts w:ascii="Times New Roman" w:hAnsi="Times New Roman"/>
                <w:kern w:val="0"/>
                <w:sz w:val="24"/>
                <w:szCs w:val="24"/>
              </w:rPr>
            </w:pPr>
            <w:r>
              <w:rPr>
                <w:rFonts w:ascii="Times New Roman" w:hAnsi="Times New Roman" w:eastAsia="仿宋"/>
                <w:kern w:val="0"/>
                <w:sz w:val="24"/>
                <w:szCs w:val="24"/>
              </w:rPr>
              <w:t>1</w:t>
            </w:r>
          </w:p>
        </w:tc>
        <w:tc>
          <w:tcPr>
            <w:tcW w:w="676" w:type="dxa"/>
            <w:vAlign w:val="center"/>
          </w:tcPr>
          <w:p w14:paraId="0FCAD35D">
            <w:pPr>
              <w:widowControl/>
              <w:jc w:val="center"/>
              <w:rPr>
                <w:rFonts w:ascii="Times New Roman" w:hAnsi="Times New Roman"/>
                <w:kern w:val="0"/>
                <w:sz w:val="24"/>
                <w:szCs w:val="24"/>
              </w:rPr>
            </w:pPr>
            <w:r>
              <w:rPr>
                <w:rFonts w:ascii="Times New Roman" w:hAnsi="Times New Roman" w:eastAsia="仿宋"/>
                <w:kern w:val="0"/>
                <w:sz w:val="24"/>
                <w:szCs w:val="24"/>
              </w:rPr>
              <w:t>1</w:t>
            </w:r>
          </w:p>
        </w:tc>
        <w:tc>
          <w:tcPr>
            <w:tcW w:w="3260" w:type="dxa"/>
            <w:shd w:val="clear" w:color="auto" w:fill="auto"/>
            <w:vAlign w:val="center"/>
          </w:tcPr>
          <w:p w14:paraId="0154D6C9">
            <w:pPr>
              <w:widowControl/>
              <w:jc w:val="left"/>
              <w:rPr>
                <w:rFonts w:ascii="Times New Roman" w:hAnsi="Times New Roman"/>
                <w:kern w:val="0"/>
                <w:sz w:val="24"/>
                <w:szCs w:val="24"/>
              </w:rPr>
            </w:pPr>
            <w:r>
              <w:rPr>
                <w:rFonts w:ascii="Times New Roman" w:hAnsi="Times New Roman" w:eastAsia="仿宋"/>
                <w:kern w:val="0"/>
                <w:sz w:val="24"/>
                <w:szCs w:val="24"/>
              </w:rPr>
              <w:t>资产管理制度健全</w:t>
            </w:r>
          </w:p>
        </w:tc>
      </w:tr>
      <w:tr w14:paraId="2D3C07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768C19BA">
            <w:pPr>
              <w:widowControl/>
              <w:jc w:val="left"/>
              <w:rPr>
                <w:rFonts w:ascii="Times New Roman" w:hAnsi="Times New Roman"/>
                <w:kern w:val="0"/>
                <w:sz w:val="24"/>
                <w:szCs w:val="24"/>
              </w:rPr>
            </w:pPr>
          </w:p>
        </w:tc>
        <w:tc>
          <w:tcPr>
            <w:tcW w:w="2123" w:type="dxa"/>
            <w:vMerge w:val="continue"/>
            <w:vAlign w:val="center"/>
          </w:tcPr>
          <w:p w14:paraId="6535BA1E">
            <w:pPr>
              <w:widowControl/>
              <w:jc w:val="left"/>
              <w:rPr>
                <w:rFonts w:ascii="Times New Roman" w:hAnsi="Times New Roman"/>
                <w:kern w:val="0"/>
                <w:sz w:val="24"/>
                <w:szCs w:val="24"/>
              </w:rPr>
            </w:pPr>
          </w:p>
        </w:tc>
        <w:tc>
          <w:tcPr>
            <w:tcW w:w="3828" w:type="dxa"/>
            <w:shd w:val="clear" w:color="auto" w:fill="auto"/>
            <w:vAlign w:val="center"/>
          </w:tcPr>
          <w:p w14:paraId="1EBBC194">
            <w:pPr>
              <w:widowControl/>
              <w:jc w:val="left"/>
              <w:rPr>
                <w:rFonts w:ascii="Times New Roman" w:hAnsi="Times New Roman"/>
                <w:kern w:val="0"/>
                <w:sz w:val="24"/>
                <w:szCs w:val="24"/>
              </w:rPr>
            </w:pPr>
            <w:r>
              <w:rPr>
                <w:rFonts w:ascii="Times New Roman" w:hAnsi="Times New Roman" w:eastAsia="仿宋"/>
                <w:kern w:val="0"/>
                <w:sz w:val="24"/>
                <w:szCs w:val="24"/>
              </w:rPr>
              <w:t>B32资产管理是否按制度执行</w:t>
            </w:r>
          </w:p>
        </w:tc>
        <w:tc>
          <w:tcPr>
            <w:tcW w:w="850" w:type="dxa"/>
            <w:shd w:val="clear" w:color="auto" w:fill="auto"/>
            <w:vAlign w:val="center"/>
          </w:tcPr>
          <w:p w14:paraId="356C4006">
            <w:pPr>
              <w:widowControl/>
              <w:jc w:val="center"/>
              <w:rPr>
                <w:rFonts w:ascii="Times New Roman" w:hAnsi="Times New Roman"/>
                <w:kern w:val="0"/>
                <w:sz w:val="24"/>
                <w:szCs w:val="24"/>
              </w:rPr>
            </w:pPr>
            <w:r>
              <w:rPr>
                <w:rFonts w:ascii="Times New Roman" w:hAnsi="Times New Roman" w:eastAsia="仿宋"/>
                <w:kern w:val="0"/>
                <w:sz w:val="24"/>
                <w:szCs w:val="24"/>
              </w:rPr>
              <w:t>1</w:t>
            </w:r>
          </w:p>
        </w:tc>
        <w:tc>
          <w:tcPr>
            <w:tcW w:w="676" w:type="dxa"/>
            <w:vAlign w:val="center"/>
          </w:tcPr>
          <w:p w14:paraId="34C38E11">
            <w:pPr>
              <w:widowControl/>
              <w:jc w:val="center"/>
              <w:rPr>
                <w:rFonts w:ascii="Times New Roman" w:hAnsi="Times New Roman"/>
                <w:kern w:val="0"/>
                <w:sz w:val="24"/>
                <w:szCs w:val="24"/>
              </w:rPr>
            </w:pPr>
            <w:r>
              <w:rPr>
                <w:rFonts w:ascii="Times New Roman" w:hAnsi="Times New Roman" w:eastAsia="仿宋"/>
                <w:kern w:val="0"/>
                <w:sz w:val="24"/>
                <w:szCs w:val="24"/>
              </w:rPr>
              <w:t>1</w:t>
            </w:r>
          </w:p>
        </w:tc>
        <w:tc>
          <w:tcPr>
            <w:tcW w:w="3260" w:type="dxa"/>
            <w:shd w:val="clear" w:color="auto" w:fill="auto"/>
            <w:vAlign w:val="center"/>
          </w:tcPr>
          <w:p w14:paraId="1100ED01">
            <w:pPr>
              <w:widowControl/>
              <w:jc w:val="left"/>
              <w:rPr>
                <w:rFonts w:ascii="Times New Roman" w:hAnsi="Times New Roman"/>
                <w:kern w:val="0"/>
                <w:sz w:val="24"/>
                <w:szCs w:val="24"/>
              </w:rPr>
            </w:pPr>
            <w:r>
              <w:rPr>
                <w:rFonts w:ascii="Times New Roman" w:hAnsi="Times New Roman" w:eastAsia="仿宋"/>
                <w:kern w:val="0"/>
                <w:sz w:val="24"/>
                <w:szCs w:val="24"/>
              </w:rPr>
              <w:t>资产管理按制度执行</w:t>
            </w:r>
          </w:p>
        </w:tc>
      </w:tr>
      <w:tr w14:paraId="645D89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0E6A57AD">
            <w:pPr>
              <w:widowControl/>
              <w:jc w:val="left"/>
              <w:rPr>
                <w:rFonts w:ascii="Times New Roman" w:hAnsi="Times New Roman"/>
                <w:kern w:val="0"/>
                <w:sz w:val="24"/>
                <w:szCs w:val="24"/>
              </w:rPr>
            </w:pPr>
          </w:p>
        </w:tc>
        <w:tc>
          <w:tcPr>
            <w:tcW w:w="2123" w:type="dxa"/>
            <w:vMerge w:val="restart"/>
            <w:shd w:val="clear" w:color="auto" w:fill="auto"/>
            <w:vAlign w:val="center"/>
          </w:tcPr>
          <w:p w14:paraId="1812ADB1">
            <w:pPr>
              <w:widowControl/>
              <w:jc w:val="left"/>
              <w:rPr>
                <w:rFonts w:ascii="Times New Roman" w:hAnsi="Times New Roman"/>
                <w:kern w:val="0"/>
                <w:sz w:val="24"/>
                <w:szCs w:val="24"/>
              </w:rPr>
            </w:pPr>
            <w:r>
              <w:rPr>
                <w:rFonts w:ascii="Times New Roman" w:hAnsi="Times New Roman" w:eastAsia="仿宋"/>
                <w:kern w:val="0"/>
                <w:sz w:val="24"/>
                <w:szCs w:val="24"/>
              </w:rPr>
              <w:t>B4政府采购管理（2分）</w:t>
            </w:r>
          </w:p>
        </w:tc>
        <w:tc>
          <w:tcPr>
            <w:tcW w:w="3828" w:type="dxa"/>
            <w:shd w:val="clear" w:color="auto" w:fill="auto"/>
            <w:vAlign w:val="center"/>
          </w:tcPr>
          <w:p w14:paraId="3BBCEA9A">
            <w:pPr>
              <w:widowControl/>
              <w:jc w:val="left"/>
              <w:rPr>
                <w:rFonts w:ascii="Times New Roman" w:hAnsi="Times New Roman"/>
                <w:kern w:val="0"/>
                <w:sz w:val="24"/>
                <w:szCs w:val="24"/>
              </w:rPr>
            </w:pPr>
            <w:r>
              <w:rPr>
                <w:rFonts w:ascii="Times New Roman" w:hAnsi="Times New Roman" w:eastAsia="仿宋"/>
                <w:kern w:val="0"/>
                <w:sz w:val="24"/>
                <w:szCs w:val="24"/>
              </w:rPr>
              <w:t>B41政府采购管理制度健全性</w:t>
            </w:r>
          </w:p>
        </w:tc>
        <w:tc>
          <w:tcPr>
            <w:tcW w:w="850" w:type="dxa"/>
            <w:shd w:val="clear" w:color="auto" w:fill="auto"/>
            <w:vAlign w:val="center"/>
          </w:tcPr>
          <w:p w14:paraId="63BD15F8">
            <w:pPr>
              <w:widowControl/>
              <w:jc w:val="center"/>
              <w:rPr>
                <w:rFonts w:ascii="Times New Roman" w:hAnsi="Times New Roman"/>
                <w:kern w:val="0"/>
                <w:sz w:val="24"/>
                <w:szCs w:val="24"/>
              </w:rPr>
            </w:pPr>
            <w:r>
              <w:rPr>
                <w:rFonts w:ascii="Times New Roman" w:hAnsi="Times New Roman" w:eastAsia="仿宋"/>
                <w:kern w:val="0"/>
                <w:sz w:val="24"/>
                <w:szCs w:val="24"/>
              </w:rPr>
              <w:t>1</w:t>
            </w:r>
          </w:p>
        </w:tc>
        <w:tc>
          <w:tcPr>
            <w:tcW w:w="676" w:type="dxa"/>
            <w:vAlign w:val="center"/>
          </w:tcPr>
          <w:p w14:paraId="12FEBCC0">
            <w:pPr>
              <w:widowControl/>
              <w:jc w:val="center"/>
              <w:rPr>
                <w:rFonts w:ascii="Times New Roman" w:hAnsi="Times New Roman"/>
                <w:kern w:val="0"/>
                <w:sz w:val="24"/>
                <w:szCs w:val="24"/>
              </w:rPr>
            </w:pPr>
            <w:r>
              <w:rPr>
                <w:rFonts w:ascii="Times New Roman" w:hAnsi="Times New Roman" w:eastAsia="仿宋"/>
                <w:kern w:val="0"/>
                <w:sz w:val="24"/>
                <w:szCs w:val="24"/>
              </w:rPr>
              <w:t>1</w:t>
            </w:r>
          </w:p>
        </w:tc>
        <w:tc>
          <w:tcPr>
            <w:tcW w:w="3260" w:type="dxa"/>
            <w:shd w:val="clear" w:color="auto" w:fill="auto"/>
            <w:vAlign w:val="center"/>
          </w:tcPr>
          <w:p w14:paraId="41FAF79A">
            <w:pPr>
              <w:widowControl/>
              <w:jc w:val="left"/>
              <w:rPr>
                <w:rFonts w:ascii="Times New Roman" w:hAnsi="Times New Roman"/>
                <w:kern w:val="0"/>
                <w:sz w:val="24"/>
                <w:szCs w:val="24"/>
              </w:rPr>
            </w:pPr>
            <w:r>
              <w:rPr>
                <w:rFonts w:ascii="Times New Roman" w:hAnsi="Times New Roman" w:eastAsia="仿宋"/>
                <w:kern w:val="0"/>
                <w:sz w:val="24"/>
                <w:szCs w:val="24"/>
              </w:rPr>
              <w:t>政府采购管理制度健全</w:t>
            </w:r>
          </w:p>
        </w:tc>
      </w:tr>
      <w:tr w14:paraId="0277B6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7F49185F">
            <w:pPr>
              <w:widowControl/>
              <w:jc w:val="left"/>
              <w:rPr>
                <w:rFonts w:ascii="Times New Roman" w:hAnsi="Times New Roman"/>
                <w:kern w:val="0"/>
                <w:sz w:val="24"/>
                <w:szCs w:val="24"/>
              </w:rPr>
            </w:pPr>
          </w:p>
        </w:tc>
        <w:tc>
          <w:tcPr>
            <w:tcW w:w="2123" w:type="dxa"/>
            <w:vMerge w:val="continue"/>
            <w:vAlign w:val="center"/>
          </w:tcPr>
          <w:p w14:paraId="0C7E159A">
            <w:pPr>
              <w:widowControl/>
              <w:jc w:val="left"/>
              <w:rPr>
                <w:rFonts w:ascii="Times New Roman" w:hAnsi="Times New Roman"/>
                <w:kern w:val="0"/>
                <w:sz w:val="24"/>
                <w:szCs w:val="24"/>
              </w:rPr>
            </w:pPr>
          </w:p>
        </w:tc>
        <w:tc>
          <w:tcPr>
            <w:tcW w:w="3828" w:type="dxa"/>
            <w:shd w:val="clear" w:color="auto" w:fill="auto"/>
            <w:vAlign w:val="center"/>
          </w:tcPr>
          <w:p w14:paraId="2CDEEF0F">
            <w:pPr>
              <w:widowControl/>
              <w:jc w:val="left"/>
              <w:rPr>
                <w:rFonts w:ascii="Times New Roman" w:hAnsi="Times New Roman"/>
                <w:kern w:val="0"/>
                <w:sz w:val="24"/>
                <w:szCs w:val="24"/>
              </w:rPr>
            </w:pPr>
            <w:r>
              <w:rPr>
                <w:rFonts w:ascii="Times New Roman" w:hAnsi="Times New Roman" w:eastAsia="仿宋"/>
                <w:kern w:val="0"/>
                <w:sz w:val="24"/>
                <w:szCs w:val="24"/>
              </w:rPr>
              <w:t>B42政府采购管理是否按制度执行</w:t>
            </w:r>
          </w:p>
        </w:tc>
        <w:tc>
          <w:tcPr>
            <w:tcW w:w="850" w:type="dxa"/>
            <w:tcBorders>
              <w:bottom w:val="single" w:color="auto" w:sz="8" w:space="0"/>
            </w:tcBorders>
            <w:shd w:val="clear" w:color="auto" w:fill="auto"/>
            <w:vAlign w:val="center"/>
          </w:tcPr>
          <w:p w14:paraId="669A1198">
            <w:pPr>
              <w:widowControl/>
              <w:jc w:val="center"/>
              <w:rPr>
                <w:rFonts w:ascii="Times New Roman" w:hAnsi="Times New Roman"/>
                <w:kern w:val="0"/>
                <w:sz w:val="24"/>
                <w:szCs w:val="24"/>
              </w:rPr>
            </w:pPr>
            <w:r>
              <w:rPr>
                <w:rFonts w:ascii="Times New Roman" w:hAnsi="Times New Roman" w:eastAsia="仿宋"/>
                <w:kern w:val="0"/>
                <w:sz w:val="24"/>
                <w:szCs w:val="24"/>
              </w:rPr>
              <w:t>1</w:t>
            </w:r>
          </w:p>
        </w:tc>
        <w:tc>
          <w:tcPr>
            <w:tcW w:w="676" w:type="dxa"/>
            <w:tcBorders>
              <w:bottom w:val="single" w:color="auto" w:sz="8" w:space="0"/>
            </w:tcBorders>
            <w:vAlign w:val="center"/>
          </w:tcPr>
          <w:p w14:paraId="026B37B8">
            <w:pPr>
              <w:widowControl/>
              <w:jc w:val="center"/>
              <w:rPr>
                <w:rFonts w:ascii="Times New Roman" w:hAnsi="Times New Roman"/>
                <w:kern w:val="0"/>
                <w:sz w:val="24"/>
                <w:szCs w:val="24"/>
              </w:rPr>
            </w:pPr>
            <w:r>
              <w:rPr>
                <w:rFonts w:ascii="Times New Roman" w:hAnsi="Times New Roman" w:eastAsia="仿宋"/>
                <w:kern w:val="0"/>
                <w:sz w:val="24"/>
                <w:szCs w:val="24"/>
              </w:rPr>
              <w:t>1</w:t>
            </w:r>
          </w:p>
        </w:tc>
        <w:tc>
          <w:tcPr>
            <w:tcW w:w="3260" w:type="dxa"/>
            <w:tcBorders>
              <w:bottom w:val="single" w:color="auto" w:sz="8" w:space="0"/>
            </w:tcBorders>
            <w:shd w:val="clear" w:color="auto" w:fill="auto"/>
            <w:vAlign w:val="center"/>
          </w:tcPr>
          <w:p w14:paraId="4FEC78B9">
            <w:pPr>
              <w:widowControl/>
              <w:jc w:val="left"/>
              <w:rPr>
                <w:rFonts w:ascii="Times New Roman" w:hAnsi="Times New Roman"/>
                <w:kern w:val="0"/>
                <w:sz w:val="24"/>
                <w:szCs w:val="24"/>
              </w:rPr>
            </w:pPr>
            <w:r>
              <w:rPr>
                <w:rFonts w:ascii="Times New Roman" w:hAnsi="Times New Roman" w:eastAsia="仿宋"/>
                <w:kern w:val="0"/>
                <w:sz w:val="24"/>
                <w:szCs w:val="24"/>
              </w:rPr>
              <w:t>政府采购按制度执行</w:t>
            </w:r>
          </w:p>
        </w:tc>
      </w:tr>
      <w:tr w14:paraId="7CB6DB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536C94EF">
            <w:pPr>
              <w:widowControl/>
              <w:jc w:val="left"/>
              <w:rPr>
                <w:rFonts w:ascii="Times New Roman" w:hAnsi="Times New Roman"/>
                <w:kern w:val="0"/>
                <w:sz w:val="24"/>
                <w:szCs w:val="24"/>
              </w:rPr>
            </w:pPr>
          </w:p>
        </w:tc>
        <w:tc>
          <w:tcPr>
            <w:tcW w:w="2123" w:type="dxa"/>
            <w:vMerge w:val="restart"/>
            <w:shd w:val="clear" w:color="auto" w:fill="auto"/>
            <w:vAlign w:val="center"/>
          </w:tcPr>
          <w:p w14:paraId="1F320134">
            <w:pPr>
              <w:widowControl/>
              <w:jc w:val="left"/>
              <w:rPr>
                <w:rFonts w:ascii="Times New Roman" w:hAnsi="Times New Roman"/>
                <w:kern w:val="0"/>
                <w:sz w:val="24"/>
                <w:szCs w:val="24"/>
              </w:rPr>
            </w:pPr>
            <w:r>
              <w:rPr>
                <w:rFonts w:ascii="Times New Roman" w:hAnsi="Times New Roman" w:eastAsia="仿宋"/>
                <w:kern w:val="0"/>
                <w:sz w:val="24"/>
                <w:szCs w:val="24"/>
              </w:rPr>
              <w:t>B5内部控制管理（6分）</w:t>
            </w:r>
          </w:p>
        </w:tc>
        <w:tc>
          <w:tcPr>
            <w:tcW w:w="3828" w:type="dxa"/>
            <w:shd w:val="clear" w:color="auto" w:fill="auto"/>
            <w:vAlign w:val="center"/>
          </w:tcPr>
          <w:p w14:paraId="514AC2E4">
            <w:pPr>
              <w:widowControl/>
              <w:jc w:val="left"/>
              <w:rPr>
                <w:rFonts w:ascii="Times New Roman" w:hAnsi="Times New Roman"/>
                <w:kern w:val="0"/>
                <w:sz w:val="24"/>
                <w:szCs w:val="24"/>
              </w:rPr>
            </w:pPr>
            <w:r>
              <w:rPr>
                <w:rFonts w:ascii="Times New Roman" w:hAnsi="Times New Roman" w:eastAsia="仿宋"/>
                <w:kern w:val="0"/>
                <w:sz w:val="24"/>
                <w:szCs w:val="24"/>
              </w:rPr>
              <w:t>B51内部控制建设情况</w:t>
            </w:r>
          </w:p>
        </w:tc>
        <w:tc>
          <w:tcPr>
            <w:tcW w:w="850" w:type="dxa"/>
            <w:shd w:val="clear" w:color="auto" w:fill="auto"/>
            <w:vAlign w:val="center"/>
          </w:tcPr>
          <w:p w14:paraId="6AF9485C">
            <w:pPr>
              <w:widowControl/>
              <w:jc w:val="center"/>
              <w:rPr>
                <w:rFonts w:ascii="Times New Roman" w:hAnsi="Times New Roman"/>
                <w:kern w:val="0"/>
                <w:sz w:val="24"/>
                <w:szCs w:val="24"/>
              </w:rPr>
            </w:pPr>
            <w:r>
              <w:rPr>
                <w:rFonts w:ascii="Times New Roman" w:hAnsi="Times New Roman" w:eastAsia="仿宋"/>
                <w:kern w:val="0"/>
                <w:sz w:val="24"/>
                <w:szCs w:val="24"/>
              </w:rPr>
              <w:t>2</w:t>
            </w:r>
          </w:p>
        </w:tc>
        <w:tc>
          <w:tcPr>
            <w:tcW w:w="676" w:type="dxa"/>
            <w:vAlign w:val="center"/>
          </w:tcPr>
          <w:p w14:paraId="4EC506C2">
            <w:pPr>
              <w:widowControl/>
              <w:jc w:val="center"/>
              <w:rPr>
                <w:rFonts w:ascii="Times New Roman" w:hAnsi="Times New Roman"/>
                <w:kern w:val="0"/>
                <w:sz w:val="24"/>
                <w:szCs w:val="24"/>
              </w:rPr>
            </w:pPr>
            <w:r>
              <w:rPr>
                <w:rFonts w:ascii="Times New Roman" w:hAnsi="Times New Roman"/>
                <w:kern w:val="0"/>
                <w:sz w:val="24"/>
                <w:szCs w:val="24"/>
              </w:rPr>
              <w:t>1</w:t>
            </w:r>
          </w:p>
        </w:tc>
        <w:tc>
          <w:tcPr>
            <w:tcW w:w="3260" w:type="dxa"/>
            <w:shd w:val="clear" w:color="auto" w:fill="auto"/>
            <w:vAlign w:val="center"/>
          </w:tcPr>
          <w:p w14:paraId="61A3675E">
            <w:pPr>
              <w:widowControl/>
              <w:jc w:val="left"/>
              <w:rPr>
                <w:rFonts w:ascii="Times New Roman" w:hAnsi="Times New Roman"/>
                <w:kern w:val="0"/>
                <w:sz w:val="24"/>
                <w:szCs w:val="24"/>
              </w:rPr>
            </w:pPr>
            <w:r>
              <w:rPr>
                <w:rFonts w:ascii="Times New Roman" w:hAnsi="Times New Roman" w:eastAsia="仿宋"/>
                <w:kern w:val="0"/>
                <w:sz w:val="24"/>
                <w:szCs w:val="24"/>
              </w:rPr>
              <w:t>是否有内部控制制度落实在手册等文本上</w:t>
            </w:r>
          </w:p>
        </w:tc>
      </w:tr>
      <w:tr w14:paraId="2711CB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10A1E252">
            <w:pPr>
              <w:widowControl/>
              <w:jc w:val="left"/>
              <w:rPr>
                <w:rFonts w:ascii="Times New Roman" w:hAnsi="Times New Roman"/>
                <w:kern w:val="0"/>
                <w:sz w:val="24"/>
                <w:szCs w:val="24"/>
              </w:rPr>
            </w:pPr>
          </w:p>
        </w:tc>
        <w:tc>
          <w:tcPr>
            <w:tcW w:w="2123" w:type="dxa"/>
            <w:vMerge w:val="continue"/>
            <w:vAlign w:val="center"/>
          </w:tcPr>
          <w:p w14:paraId="34BBD4AB">
            <w:pPr>
              <w:widowControl/>
              <w:jc w:val="left"/>
              <w:rPr>
                <w:rFonts w:ascii="Times New Roman" w:hAnsi="Times New Roman"/>
                <w:kern w:val="0"/>
                <w:sz w:val="24"/>
                <w:szCs w:val="24"/>
              </w:rPr>
            </w:pPr>
          </w:p>
        </w:tc>
        <w:tc>
          <w:tcPr>
            <w:tcW w:w="3828" w:type="dxa"/>
            <w:shd w:val="clear" w:color="auto" w:fill="auto"/>
            <w:vAlign w:val="center"/>
          </w:tcPr>
          <w:p w14:paraId="0DBA1675">
            <w:pPr>
              <w:widowControl/>
              <w:jc w:val="left"/>
              <w:rPr>
                <w:rFonts w:ascii="Times New Roman" w:hAnsi="Times New Roman"/>
                <w:kern w:val="0"/>
                <w:sz w:val="24"/>
                <w:szCs w:val="24"/>
              </w:rPr>
            </w:pPr>
            <w:r>
              <w:rPr>
                <w:rFonts w:ascii="Times New Roman" w:hAnsi="Times New Roman" w:eastAsia="仿宋"/>
                <w:kern w:val="0"/>
                <w:sz w:val="24"/>
                <w:szCs w:val="24"/>
              </w:rPr>
              <w:t>B52内部控制执行情况</w:t>
            </w:r>
          </w:p>
        </w:tc>
        <w:tc>
          <w:tcPr>
            <w:tcW w:w="850" w:type="dxa"/>
            <w:shd w:val="clear" w:color="auto" w:fill="auto"/>
            <w:vAlign w:val="center"/>
          </w:tcPr>
          <w:p w14:paraId="50FCFE66">
            <w:pPr>
              <w:widowControl/>
              <w:jc w:val="center"/>
              <w:rPr>
                <w:rFonts w:ascii="Times New Roman" w:hAnsi="Times New Roman"/>
                <w:kern w:val="0"/>
                <w:sz w:val="24"/>
                <w:szCs w:val="24"/>
              </w:rPr>
            </w:pPr>
            <w:r>
              <w:rPr>
                <w:rFonts w:ascii="Times New Roman" w:hAnsi="Times New Roman" w:eastAsia="仿宋"/>
                <w:kern w:val="0"/>
                <w:sz w:val="24"/>
                <w:szCs w:val="24"/>
              </w:rPr>
              <w:t>2</w:t>
            </w:r>
          </w:p>
        </w:tc>
        <w:tc>
          <w:tcPr>
            <w:tcW w:w="676" w:type="dxa"/>
            <w:vAlign w:val="center"/>
          </w:tcPr>
          <w:p w14:paraId="384DF025">
            <w:pPr>
              <w:widowControl/>
              <w:jc w:val="center"/>
              <w:rPr>
                <w:rFonts w:ascii="Times New Roman" w:hAnsi="Times New Roman"/>
                <w:kern w:val="0"/>
                <w:sz w:val="24"/>
                <w:szCs w:val="24"/>
              </w:rPr>
            </w:pPr>
            <w:r>
              <w:rPr>
                <w:rFonts w:ascii="Times New Roman" w:hAnsi="Times New Roman" w:eastAsia="仿宋"/>
                <w:kern w:val="0"/>
                <w:sz w:val="24"/>
                <w:szCs w:val="24"/>
              </w:rPr>
              <w:t>2</w:t>
            </w:r>
          </w:p>
        </w:tc>
        <w:tc>
          <w:tcPr>
            <w:tcW w:w="3260" w:type="dxa"/>
            <w:shd w:val="clear" w:color="auto" w:fill="auto"/>
            <w:vAlign w:val="center"/>
          </w:tcPr>
          <w:p w14:paraId="11A4E747">
            <w:pPr>
              <w:widowControl/>
              <w:jc w:val="left"/>
              <w:rPr>
                <w:rFonts w:ascii="Times New Roman" w:hAnsi="Times New Roman"/>
                <w:kern w:val="0"/>
                <w:sz w:val="24"/>
                <w:szCs w:val="24"/>
              </w:rPr>
            </w:pPr>
            <w:r>
              <w:rPr>
                <w:rFonts w:ascii="Times New Roman" w:hAnsi="Times New Roman" w:eastAsia="仿宋"/>
                <w:kern w:val="0"/>
                <w:sz w:val="24"/>
                <w:szCs w:val="24"/>
              </w:rPr>
              <w:t>是否按制度执行</w:t>
            </w:r>
          </w:p>
        </w:tc>
      </w:tr>
      <w:tr w14:paraId="3C0E58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1AA0D20E">
            <w:pPr>
              <w:widowControl/>
              <w:jc w:val="left"/>
              <w:rPr>
                <w:rFonts w:ascii="Times New Roman" w:hAnsi="Times New Roman"/>
                <w:kern w:val="0"/>
                <w:sz w:val="24"/>
                <w:szCs w:val="24"/>
              </w:rPr>
            </w:pPr>
          </w:p>
        </w:tc>
        <w:tc>
          <w:tcPr>
            <w:tcW w:w="2123" w:type="dxa"/>
            <w:vMerge w:val="continue"/>
            <w:vAlign w:val="center"/>
          </w:tcPr>
          <w:p w14:paraId="10F0DFCF">
            <w:pPr>
              <w:widowControl/>
              <w:jc w:val="left"/>
              <w:rPr>
                <w:rFonts w:ascii="Times New Roman" w:hAnsi="Times New Roman"/>
                <w:kern w:val="0"/>
                <w:sz w:val="24"/>
                <w:szCs w:val="24"/>
              </w:rPr>
            </w:pPr>
          </w:p>
        </w:tc>
        <w:tc>
          <w:tcPr>
            <w:tcW w:w="3828" w:type="dxa"/>
            <w:shd w:val="clear" w:color="auto" w:fill="auto"/>
            <w:vAlign w:val="center"/>
          </w:tcPr>
          <w:p w14:paraId="3A5CD851">
            <w:pPr>
              <w:widowControl/>
              <w:jc w:val="left"/>
              <w:rPr>
                <w:rFonts w:ascii="Times New Roman" w:hAnsi="Times New Roman"/>
                <w:kern w:val="0"/>
                <w:sz w:val="24"/>
                <w:szCs w:val="24"/>
              </w:rPr>
            </w:pPr>
            <w:r>
              <w:rPr>
                <w:rFonts w:ascii="Times New Roman" w:hAnsi="Times New Roman" w:eastAsia="仿宋"/>
                <w:kern w:val="0"/>
                <w:sz w:val="24"/>
                <w:szCs w:val="24"/>
              </w:rPr>
              <w:t>B53内部控制监督评价</w:t>
            </w:r>
          </w:p>
        </w:tc>
        <w:tc>
          <w:tcPr>
            <w:tcW w:w="850" w:type="dxa"/>
            <w:shd w:val="clear" w:color="auto" w:fill="auto"/>
            <w:vAlign w:val="center"/>
          </w:tcPr>
          <w:p w14:paraId="4308030F">
            <w:pPr>
              <w:widowControl/>
              <w:jc w:val="center"/>
              <w:rPr>
                <w:rFonts w:ascii="Times New Roman" w:hAnsi="Times New Roman"/>
                <w:kern w:val="0"/>
                <w:sz w:val="24"/>
                <w:szCs w:val="24"/>
              </w:rPr>
            </w:pPr>
            <w:r>
              <w:rPr>
                <w:rFonts w:ascii="Times New Roman" w:hAnsi="Times New Roman" w:eastAsia="仿宋"/>
                <w:kern w:val="0"/>
                <w:sz w:val="24"/>
                <w:szCs w:val="24"/>
              </w:rPr>
              <w:t>2</w:t>
            </w:r>
          </w:p>
        </w:tc>
        <w:tc>
          <w:tcPr>
            <w:tcW w:w="676" w:type="dxa"/>
            <w:vAlign w:val="center"/>
          </w:tcPr>
          <w:p w14:paraId="567523FB">
            <w:pPr>
              <w:widowControl/>
              <w:jc w:val="center"/>
              <w:rPr>
                <w:rFonts w:ascii="Times New Roman" w:hAnsi="Times New Roman"/>
                <w:kern w:val="0"/>
                <w:sz w:val="24"/>
                <w:szCs w:val="24"/>
              </w:rPr>
            </w:pPr>
            <w:r>
              <w:rPr>
                <w:rFonts w:hint="eastAsia" w:ascii="Times New Roman" w:hAnsi="Times New Roman" w:eastAsia="仿宋"/>
                <w:kern w:val="0"/>
                <w:sz w:val="24"/>
                <w:szCs w:val="24"/>
              </w:rPr>
              <w:t>2</w:t>
            </w:r>
          </w:p>
        </w:tc>
        <w:tc>
          <w:tcPr>
            <w:tcW w:w="3260" w:type="dxa"/>
            <w:shd w:val="clear" w:color="auto" w:fill="auto"/>
            <w:vAlign w:val="center"/>
          </w:tcPr>
          <w:p w14:paraId="6E8B3CEE">
            <w:pPr>
              <w:widowControl/>
              <w:jc w:val="left"/>
              <w:rPr>
                <w:rFonts w:ascii="Times New Roman" w:hAnsi="Times New Roman"/>
                <w:kern w:val="0"/>
                <w:sz w:val="24"/>
                <w:szCs w:val="24"/>
              </w:rPr>
            </w:pPr>
            <w:r>
              <w:rPr>
                <w:rFonts w:ascii="Times New Roman" w:hAnsi="Times New Roman" w:eastAsia="仿宋"/>
                <w:kern w:val="0"/>
                <w:sz w:val="24"/>
                <w:szCs w:val="24"/>
              </w:rPr>
              <w:t>内控监督评价开展情况</w:t>
            </w:r>
          </w:p>
        </w:tc>
      </w:tr>
      <w:tr w14:paraId="7C5D14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123BE62F">
            <w:pPr>
              <w:widowControl/>
              <w:jc w:val="left"/>
              <w:rPr>
                <w:rFonts w:ascii="Times New Roman" w:hAnsi="Times New Roman"/>
                <w:kern w:val="0"/>
                <w:sz w:val="24"/>
                <w:szCs w:val="24"/>
              </w:rPr>
            </w:pPr>
          </w:p>
        </w:tc>
        <w:tc>
          <w:tcPr>
            <w:tcW w:w="2123" w:type="dxa"/>
            <w:vMerge w:val="restart"/>
            <w:shd w:val="clear" w:color="auto" w:fill="auto"/>
            <w:vAlign w:val="center"/>
          </w:tcPr>
          <w:p w14:paraId="5F36378B">
            <w:pPr>
              <w:widowControl/>
              <w:jc w:val="left"/>
              <w:rPr>
                <w:rFonts w:ascii="Times New Roman" w:hAnsi="Times New Roman"/>
                <w:kern w:val="0"/>
                <w:sz w:val="24"/>
                <w:szCs w:val="24"/>
              </w:rPr>
            </w:pPr>
            <w:r>
              <w:rPr>
                <w:rFonts w:ascii="Times New Roman" w:hAnsi="Times New Roman" w:eastAsia="仿宋"/>
                <w:kern w:val="0"/>
                <w:sz w:val="24"/>
                <w:szCs w:val="24"/>
              </w:rPr>
              <w:t>B6预算绩效管理（3分）</w:t>
            </w:r>
          </w:p>
        </w:tc>
        <w:tc>
          <w:tcPr>
            <w:tcW w:w="3828" w:type="dxa"/>
            <w:shd w:val="clear" w:color="auto" w:fill="auto"/>
            <w:vAlign w:val="center"/>
          </w:tcPr>
          <w:p w14:paraId="22B89B6B">
            <w:pPr>
              <w:widowControl/>
              <w:jc w:val="left"/>
              <w:rPr>
                <w:rFonts w:ascii="Times New Roman" w:hAnsi="Times New Roman"/>
                <w:kern w:val="0"/>
                <w:sz w:val="24"/>
                <w:szCs w:val="24"/>
              </w:rPr>
            </w:pPr>
            <w:r>
              <w:rPr>
                <w:rFonts w:ascii="Times New Roman" w:hAnsi="Times New Roman" w:eastAsia="仿宋"/>
                <w:kern w:val="0"/>
                <w:sz w:val="24"/>
                <w:szCs w:val="24"/>
              </w:rPr>
              <w:t>B61组织管理情况</w:t>
            </w:r>
          </w:p>
        </w:tc>
        <w:tc>
          <w:tcPr>
            <w:tcW w:w="850" w:type="dxa"/>
            <w:shd w:val="clear" w:color="auto" w:fill="auto"/>
            <w:vAlign w:val="center"/>
          </w:tcPr>
          <w:p w14:paraId="5BC6C5EF">
            <w:pPr>
              <w:widowControl/>
              <w:jc w:val="center"/>
              <w:rPr>
                <w:rFonts w:ascii="Times New Roman" w:hAnsi="Times New Roman"/>
                <w:kern w:val="0"/>
                <w:sz w:val="24"/>
                <w:szCs w:val="24"/>
              </w:rPr>
            </w:pPr>
            <w:r>
              <w:rPr>
                <w:rFonts w:ascii="Times New Roman" w:hAnsi="Times New Roman" w:eastAsia="仿宋"/>
                <w:kern w:val="0"/>
                <w:sz w:val="24"/>
                <w:szCs w:val="24"/>
              </w:rPr>
              <w:t>1</w:t>
            </w:r>
          </w:p>
        </w:tc>
        <w:tc>
          <w:tcPr>
            <w:tcW w:w="676" w:type="dxa"/>
            <w:vAlign w:val="center"/>
          </w:tcPr>
          <w:p w14:paraId="748DC7D7">
            <w:pPr>
              <w:widowControl/>
              <w:jc w:val="center"/>
              <w:rPr>
                <w:rFonts w:ascii="Times New Roman" w:hAnsi="Times New Roman"/>
                <w:kern w:val="0"/>
                <w:sz w:val="24"/>
                <w:szCs w:val="24"/>
              </w:rPr>
            </w:pPr>
            <w:r>
              <w:rPr>
                <w:rFonts w:ascii="Times New Roman" w:hAnsi="Times New Roman" w:eastAsia="仿宋"/>
                <w:kern w:val="0"/>
                <w:sz w:val="24"/>
                <w:szCs w:val="24"/>
              </w:rPr>
              <w:t>1</w:t>
            </w:r>
          </w:p>
        </w:tc>
        <w:tc>
          <w:tcPr>
            <w:tcW w:w="3260" w:type="dxa"/>
            <w:shd w:val="clear" w:color="auto" w:fill="auto"/>
            <w:vAlign w:val="center"/>
          </w:tcPr>
          <w:p w14:paraId="3EBA15E2">
            <w:pPr>
              <w:widowControl/>
              <w:jc w:val="left"/>
              <w:rPr>
                <w:rFonts w:ascii="Times New Roman" w:hAnsi="Times New Roman"/>
                <w:kern w:val="0"/>
                <w:sz w:val="24"/>
                <w:szCs w:val="24"/>
              </w:rPr>
            </w:pPr>
            <w:r>
              <w:rPr>
                <w:rFonts w:ascii="Times New Roman" w:hAnsi="Times New Roman" w:eastAsia="仿宋"/>
                <w:kern w:val="0"/>
                <w:sz w:val="24"/>
                <w:szCs w:val="24"/>
              </w:rPr>
              <w:t>考察是否有预决算制度和岗位职责分配</w:t>
            </w:r>
          </w:p>
        </w:tc>
      </w:tr>
      <w:tr w14:paraId="4F8C74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53889BCF">
            <w:pPr>
              <w:widowControl/>
              <w:jc w:val="left"/>
              <w:rPr>
                <w:rFonts w:ascii="Times New Roman" w:hAnsi="Times New Roman"/>
                <w:kern w:val="0"/>
                <w:sz w:val="24"/>
                <w:szCs w:val="24"/>
              </w:rPr>
            </w:pPr>
          </w:p>
        </w:tc>
        <w:tc>
          <w:tcPr>
            <w:tcW w:w="2123" w:type="dxa"/>
            <w:vMerge w:val="continue"/>
            <w:vAlign w:val="center"/>
          </w:tcPr>
          <w:p w14:paraId="66B89B0B">
            <w:pPr>
              <w:widowControl/>
              <w:jc w:val="left"/>
              <w:rPr>
                <w:rFonts w:ascii="Times New Roman" w:hAnsi="Times New Roman"/>
                <w:kern w:val="0"/>
                <w:sz w:val="24"/>
                <w:szCs w:val="24"/>
              </w:rPr>
            </w:pPr>
          </w:p>
        </w:tc>
        <w:tc>
          <w:tcPr>
            <w:tcW w:w="3828" w:type="dxa"/>
            <w:shd w:val="clear" w:color="auto" w:fill="auto"/>
            <w:vAlign w:val="center"/>
          </w:tcPr>
          <w:p w14:paraId="27C93E69">
            <w:pPr>
              <w:widowControl/>
              <w:jc w:val="left"/>
              <w:rPr>
                <w:rFonts w:ascii="Times New Roman" w:hAnsi="Times New Roman"/>
                <w:kern w:val="0"/>
                <w:sz w:val="24"/>
                <w:szCs w:val="24"/>
              </w:rPr>
            </w:pPr>
            <w:r>
              <w:rPr>
                <w:rFonts w:ascii="Times New Roman" w:hAnsi="Times New Roman" w:eastAsia="仿宋"/>
                <w:kern w:val="0"/>
                <w:sz w:val="24"/>
                <w:szCs w:val="24"/>
              </w:rPr>
              <w:t>B62工作开展情况</w:t>
            </w:r>
          </w:p>
        </w:tc>
        <w:tc>
          <w:tcPr>
            <w:tcW w:w="850" w:type="dxa"/>
            <w:shd w:val="clear" w:color="auto" w:fill="auto"/>
            <w:vAlign w:val="center"/>
          </w:tcPr>
          <w:p w14:paraId="577C30BB">
            <w:pPr>
              <w:widowControl/>
              <w:jc w:val="center"/>
              <w:rPr>
                <w:rFonts w:ascii="Times New Roman" w:hAnsi="Times New Roman"/>
                <w:kern w:val="0"/>
                <w:sz w:val="24"/>
                <w:szCs w:val="24"/>
              </w:rPr>
            </w:pPr>
            <w:r>
              <w:rPr>
                <w:rFonts w:ascii="Times New Roman" w:hAnsi="Times New Roman" w:eastAsia="仿宋"/>
                <w:kern w:val="0"/>
                <w:sz w:val="24"/>
                <w:szCs w:val="24"/>
              </w:rPr>
              <w:t>1</w:t>
            </w:r>
          </w:p>
        </w:tc>
        <w:tc>
          <w:tcPr>
            <w:tcW w:w="676" w:type="dxa"/>
            <w:vAlign w:val="center"/>
          </w:tcPr>
          <w:p w14:paraId="4678FC42">
            <w:pPr>
              <w:widowControl/>
              <w:jc w:val="center"/>
              <w:rPr>
                <w:rFonts w:ascii="Times New Roman" w:hAnsi="Times New Roman"/>
                <w:kern w:val="0"/>
                <w:sz w:val="24"/>
                <w:szCs w:val="24"/>
              </w:rPr>
            </w:pPr>
            <w:r>
              <w:rPr>
                <w:rFonts w:ascii="Times New Roman" w:hAnsi="Times New Roman" w:eastAsia="仿宋"/>
                <w:kern w:val="0"/>
                <w:sz w:val="24"/>
                <w:szCs w:val="24"/>
              </w:rPr>
              <w:t>1</w:t>
            </w:r>
          </w:p>
        </w:tc>
        <w:tc>
          <w:tcPr>
            <w:tcW w:w="3260" w:type="dxa"/>
            <w:shd w:val="clear" w:color="auto" w:fill="auto"/>
            <w:vAlign w:val="center"/>
          </w:tcPr>
          <w:p w14:paraId="694397FB">
            <w:pPr>
              <w:widowControl/>
              <w:jc w:val="left"/>
              <w:rPr>
                <w:rFonts w:ascii="Times New Roman" w:hAnsi="Times New Roman"/>
                <w:kern w:val="0"/>
                <w:sz w:val="24"/>
                <w:szCs w:val="24"/>
              </w:rPr>
            </w:pPr>
            <w:r>
              <w:rPr>
                <w:rFonts w:ascii="Times New Roman" w:hAnsi="Times New Roman" w:eastAsia="仿宋"/>
                <w:kern w:val="0"/>
                <w:sz w:val="24"/>
                <w:szCs w:val="24"/>
              </w:rPr>
              <w:t>通过考察预算执行进度评价</w:t>
            </w:r>
          </w:p>
        </w:tc>
      </w:tr>
      <w:tr w14:paraId="6CC56D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5F0F5BB0">
            <w:pPr>
              <w:widowControl/>
              <w:jc w:val="left"/>
              <w:rPr>
                <w:rFonts w:ascii="Times New Roman" w:hAnsi="Times New Roman"/>
                <w:kern w:val="0"/>
                <w:sz w:val="24"/>
                <w:szCs w:val="24"/>
              </w:rPr>
            </w:pPr>
          </w:p>
        </w:tc>
        <w:tc>
          <w:tcPr>
            <w:tcW w:w="2123" w:type="dxa"/>
            <w:vMerge w:val="continue"/>
            <w:vAlign w:val="center"/>
          </w:tcPr>
          <w:p w14:paraId="6EA5C281">
            <w:pPr>
              <w:widowControl/>
              <w:jc w:val="left"/>
              <w:rPr>
                <w:rFonts w:ascii="Times New Roman" w:hAnsi="Times New Roman"/>
                <w:kern w:val="0"/>
                <w:sz w:val="24"/>
                <w:szCs w:val="24"/>
              </w:rPr>
            </w:pPr>
          </w:p>
        </w:tc>
        <w:tc>
          <w:tcPr>
            <w:tcW w:w="3828" w:type="dxa"/>
            <w:shd w:val="clear" w:color="auto" w:fill="auto"/>
            <w:vAlign w:val="center"/>
          </w:tcPr>
          <w:p w14:paraId="281F32AE">
            <w:pPr>
              <w:widowControl/>
              <w:jc w:val="left"/>
              <w:rPr>
                <w:rFonts w:ascii="Times New Roman" w:hAnsi="Times New Roman"/>
                <w:kern w:val="0"/>
                <w:sz w:val="24"/>
                <w:szCs w:val="24"/>
              </w:rPr>
            </w:pPr>
            <w:r>
              <w:rPr>
                <w:rFonts w:ascii="Times New Roman" w:hAnsi="Times New Roman" w:eastAsia="仿宋"/>
                <w:kern w:val="0"/>
                <w:sz w:val="24"/>
                <w:szCs w:val="24"/>
              </w:rPr>
              <w:t>B63绩效信息公开</w:t>
            </w:r>
          </w:p>
        </w:tc>
        <w:tc>
          <w:tcPr>
            <w:tcW w:w="850" w:type="dxa"/>
            <w:shd w:val="clear" w:color="auto" w:fill="auto"/>
            <w:vAlign w:val="center"/>
          </w:tcPr>
          <w:p w14:paraId="4584F3CC">
            <w:pPr>
              <w:widowControl/>
              <w:jc w:val="center"/>
              <w:rPr>
                <w:rFonts w:ascii="Times New Roman" w:hAnsi="Times New Roman"/>
                <w:kern w:val="0"/>
                <w:sz w:val="24"/>
                <w:szCs w:val="24"/>
              </w:rPr>
            </w:pPr>
            <w:r>
              <w:rPr>
                <w:rFonts w:ascii="Times New Roman" w:hAnsi="Times New Roman" w:eastAsia="仿宋"/>
                <w:kern w:val="0"/>
                <w:sz w:val="24"/>
                <w:szCs w:val="24"/>
              </w:rPr>
              <w:t>1</w:t>
            </w:r>
          </w:p>
        </w:tc>
        <w:tc>
          <w:tcPr>
            <w:tcW w:w="676" w:type="dxa"/>
            <w:vAlign w:val="center"/>
          </w:tcPr>
          <w:p w14:paraId="7B9A26AD">
            <w:pPr>
              <w:widowControl/>
              <w:jc w:val="center"/>
              <w:rPr>
                <w:rFonts w:ascii="Times New Roman" w:hAnsi="Times New Roman"/>
                <w:kern w:val="0"/>
                <w:sz w:val="24"/>
                <w:szCs w:val="24"/>
              </w:rPr>
            </w:pPr>
            <w:r>
              <w:rPr>
                <w:rFonts w:ascii="Times New Roman" w:hAnsi="Times New Roman" w:eastAsia="仿宋"/>
                <w:kern w:val="0"/>
                <w:sz w:val="24"/>
                <w:szCs w:val="24"/>
              </w:rPr>
              <w:t>1</w:t>
            </w:r>
          </w:p>
        </w:tc>
        <w:tc>
          <w:tcPr>
            <w:tcW w:w="3260" w:type="dxa"/>
            <w:shd w:val="clear" w:color="auto" w:fill="auto"/>
            <w:vAlign w:val="center"/>
          </w:tcPr>
          <w:p w14:paraId="7A0F2C8E">
            <w:pPr>
              <w:widowControl/>
              <w:jc w:val="left"/>
              <w:rPr>
                <w:rFonts w:ascii="Times New Roman" w:hAnsi="Times New Roman"/>
                <w:kern w:val="0"/>
                <w:sz w:val="24"/>
                <w:szCs w:val="24"/>
              </w:rPr>
            </w:pPr>
            <w:r>
              <w:rPr>
                <w:rFonts w:ascii="Times New Roman" w:hAnsi="Times New Roman" w:eastAsia="仿宋"/>
                <w:kern w:val="0"/>
                <w:sz w:val="24"/>
                <w:szCs w:val="24"/>
              </w:rPr>
              <w:t>是否在“双平台”进行公开，内容和时限是否符合要求</w:t>
            </w:r>
          </w:p>
        </w:tc>
      </w:tr>
      <w:tr w14:paraId="40EE43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restart"/>
            <w:shd w:val="clear" w:color="auto" w:fill="auto"/>
            <w:vAlign w:val="center"/>
          </w:tcPr>
          <w:p w14:paraId="1DAA7716">
            <w:pPr>
              <w:widowControl/>
              <w:jc w:val="left"/>
              <w:rPr>
                <w:rFonts w:ascii="Times New Roman" w:hAnsi="Times New Roman"/>
                <w:kern w:val="0"/>
                <w:sz w:val="24"/>
                <w:szCs w:val="24"/>
              </w:rPr>
            </w:pPr>
            <w:r>
              <w:rPr>
                <w:rFonts w:ascii="Times New Roman" w:hAnsi="Times New Roman" w:eastAsia="仿宋"/>
                <w:kern w:val="0"/>
                <w:sz w:val="24"/>
                <w:szCs w:val="24"/>
              </w:rPr>
              <w:t>C部门履职(30)</w:t>
            </w:r>
          </w:p>
        </w:tc>
        <w:tc>
          <w:tcPr>
            <w:tcW w:w="2123" w:type="dxa"/>
            <w:vMerge w:val="restart"/>
            <w:shd w:val="clear" w:color="auto" w:fill="auto"/>
            <w:vAlign w:val="center"/>
          </w:tcPr>
          <w:p w14:paraId="2E7559C0">
            <w:pPr>
              <w:widowControl/>
              <w:jc w:val="left"/>
              <w:rPr>
                <w:rFonts w:ascii="Times New Roman" w:hAnsi="Times New Roman"/>
                <w:kern w:val="0"/>
                <w:sz w:val="24"/>
                <w:szCs w:val="24"/>
              </w:rPr>
            </w:pPr>
            <w:r>
              <w:rPr>
                <w:rFonts w:ascii="Times New Roman" w:hAnsi="Times New Roman" w:eastAsia="仿宋"/>
                <w:sz w:val="24"/>
                <w:szCs w:val="24"/>
              </w:rPr>
              <w:t>C1</w:t>
            </w:r>
            <w:r>
              <w:rPr>
                <w:rFonts w:ascii="Times New Roman" w:hAnsi="Times New Roman" w:eastAsia="仿宋"/>
                <w:kern w:val="0"/>
                <w:sz w:val="24"/>
                <w:szCs w:val="24"/>
              </w:rPr>
              <w:t>聚焦精准服务，营商环境持续优化</w:t>
            </w:r>
            <w:r>
              <w:rPr>
                <w:rFonts w:ascii="Times New Roman" w:hAnsi="Times New Roman" w:eastAsia="仿宋"/>
                <w:sz w:val="24"/>
                <w:szCs w:val="24"/>
              </w:rPr>
              <w:t>（8分）</w:t>
            </w:r>
          </w:p>
        </w:tc>
        <w:tc>
          <w:tcPr>
            <w:tcW w:w="3828" w:type="dxa"/>
            <w:shd w:val="clear" w:color="auto" w:fill="auto"/>
            <w:vAlign w:val="center"/>
          </w:tcPr>
          <w:p w14:paraId="7FFE801B">
            <w:pPr>
              <w:widowControl/>
              <w:jc w:val="left"/>
              <w:rPr>
                <w:rFonts w:ascii="Times New Roman" w:hAnsi="Times New Roman" w:eastAsia="仿宋"/>
                <w:kern w:val="0"/>
                <w:sz w:val="24"/>
                <w:szCs w:val="24"/>
              </w:rPr>
            </w:pPr>
            <w:r>
              <w:rPr>
                <w:rFonts w:ascii="Times New Roman" w:hAnsi="Times New Roman" w:eastAsia="仿宋"/>
                <w:kern w:val="0"/>
                <w:sz w:val="24"/>
                <w:szCs w:val="24"/>
              </w:rPr>
              <w:t>C11</w:t>
            </w:r>
            <w:r>
              <w:rPr>
                <w:rFonts w:hint="eastAsia" w:ascii="Times New Roman" w:hAnsi="Times New Roman" w:eastAsia="仿宋"/>
                <w:kern w:val="0"/>
                <w:sz w:val="24"/>
                <w:szCs w:val="24"/>
              </w:rPr>
              <w:t>开展消防审验提前服务</w:t>
            </w:r>
          </w:p>
        </w:tc>
        <w:tc>
          <w:tcPr>
            <w:tcW w:w="850" w:type="dxa"/>
            <w:shd w:val="clear" w:color="auto" w:fill="auto"/>
            <w:vAlign w:val="center"/>
          </w:tcPr>
          <w:p w14:paraId="483BEAA5">
            <w:pPr>
              <w:widowControl/>
              <w:jc w:val="center"/>
              <w:rPr>
                <w:rFonts w:ascii="Times New Roman" w:hAnsi="Times New Roman"/>
                <w:kern w:val="0"/>
                <w:sz w:val="24"/>
                <w:szCs w:val="24"/>
              </w:rPr>
            </w:pPr>
            <w:r>
              <w:rPr>
                <w:rFonts w:ascii="Times New Roman" w:hAnsi="Times New Roman" w:eastAsia="仿宋"/>
                <w:kern w:val="0"/>
                <w:sz w:val="24"/>
                <w:szCs w:val="24"/>
              </w:rPr>
              <w:t>3</w:t>
            </w:r>
          </w:p>
        </w:tc>
        <w:tc>
          <w:tcPr>
            <w:tcW w:w="676" w:type="dxa"/>
            <w:vAlign w:val="center"/>
          </w:tcPr>
          <w:p w14:paraId="00491C05">
            <w:pPr>
              <w:widowControl/>
              <w:jc w:val="center"/>
              <w:rPr>
                <w:rFonts w:ascii="Times New Roman" w:hAnsi="Times New Roman"/>
                <w:kern w:val="0"/>
                <w:sz w:val="24"/>
                <w:szCs w:val="24"/>
              </w:rPr>
            </w:pPr>
            <w:r>
              <w:rPr>
                <w:rFonts w:ascii="Times New Roman" w:hAnsi="Times New Roman" w:eastAsia="仿宋"/>
                <w:kern w:val="0"/>
                <w:sz w:val="24"/>
                <w:szCs w:val="24"/>
              </w:rPr>
              <w:t>3</w:t>
            </w:r>
          </w:p>
        </w:tc>
        <w:tc>
          <w:tcPr>
            <w:tcW w:w="3260" w:type="dxa"/>
            <w:shd w:val="clear" w:color="auto" w:fill="auto"/>
            <w:vAlign w:val="center"/>
          </w:tcPr>
          <w:p w14:paraId="0FB7FCFD">
            <w:pPr>
              <w:widowControl/>
              <w:jc w:val="left"/>
              <w:rPr>
                <w:rFonts w:ascii="Times New Roman" w:hAnsi="Times New Roman" w:eastAsia="仿宋"/>
                <w:kern w:val="0"/>
                <w:sz w:val="24"/>
                <w:szCs w:val="24"/>
              </w:rPr>
            </w:pPr>
            <w:r>
              <w:rPr>
                <w:rFonts w:hint="eastAsia" w:ascii="Times New Roman" w:hAnsi="Times New Roman" w:eastAsia="仿宋"/>
                <w:sz w:val="24"/>
                <w:szCs w:val="24"/>
              </w:rPr>
              <w:t>是否根据建设工程项目需求，开展提前服务</w:t>
            </w:r>
          </w:p>
        </w:tc>
      </w:tr>
      <w:tr w14:paraId="0EF001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35" w:hRule="atLeast"/>
        </w:trPr>
        <w:tc>
          <w:tcPr>
            <w:tcW w:w="2268" w:type="dxa"/>
            <w:vMerge w:val="continue"/>
            <w:vAlign w:val="center"/>
          </w:tcPr>
          <w:p w14:paraId="1EC6F3E8">
            <w:pPr>
              <w:widowControl/>
              <w:jc w:val="left"/>
              <w:rPr>
                <w:rFonts w:ascii="Times New Roman" w:hAnsi="Times New Roman"/>
                <w:kern w:val="0"/>
                <w:sz w:val="24"/>
                <w:szCs w:val="24"/>
              </w:rPr>
            </w:pPr>
          </w:p>
        </w:tc>
        <w:tc>
          <w:tcPr>
            <w:tcW w:w="2123" w:type="dxa"/>
            <w:vMerge w:val="continue"/>
            <w:vAlign w:val="center"/>
          </w:tcPr>
          <w:p w14:paraId="4BADC786">
            <w:pPr>
              <w:widowControl/>
              <w:jc w:val="left"/>
              <w:rPr>
                <w:rFonts w:ascii="Times New Roman" w:hAnsi="Times New Roman"/>
                <w:kern w:val="0"/>
                <w:sz w:val="24"/>
                <w:szCs w:val="24"/>
              </w:rPr>
            </w:pPr>
          </w:p>
        </w:tc>
        <w:tc>
          <w:tcPr>
            <w:tcW w:w="3828" w:type="dxa"/>
            <w:shd w:val="clear" w:color="auto" w:fill="auto"/>
            <w:vAlign w:val="center"/>
          </w:tcPr>
          <w:p w14:paraId="448F6EC0">
            <w:pPr>
              <w:widowControl/>
              <w:jc w:val="left"/>
              <w:rPr>
                <w:rFonts w:ascii="Times New Roman" w:hAnsi="Times New Roman" w:eastAsia="仿宋"/>
                <w:kern w:val="0"/>
                <w:sz w:val="24"/>
                <w:szCs w:val="24"/>
              </w:rPr>
            </w:pPr>
            <w:r>
              <w:rPr>
                <w:rFonts w:ascii="Times New Roman" w:hAnsi="Times New Roman" w:eastAsia="仿宋"/>
                <w:kern w:val="0"/>
                <w:sz w:val="24"/>
                <w:szCs w:val="24"/>
              </w:rPr>
              <w:t>C12</w:t>
            </w:r>
            <w:r>
              <w:rPr>
                <w:rFonts w:hint="eastAsia" w:ascii="Times New Roman" w:hAnsi="Times New Roman" w:eastAsia="仿宋"/>
                <w:kern w:val="0"/>
                <w:sz w:val="24"/>
                <w:szCs w:val="24"/>
              </w:rPr>
              <w:t>搭建平台强化指导</w:t>
            </w:r>
          </w:p>
        </w:tc>
        <w:tc>
          <w:tcPr>
            <w:tcW w:w="850" w:type="dxa"/>
            <w:shd w:val="clear" w:color="auto" w:fill="auto"/>
            <w:vAlign w:val="center"/>
          </w:tcPr>
          <w:p w14:paraId="58954FB6">
            <w:pPr>
              <w:widowControl/>
              <w:jc w:val="center"/>
              <w:rPr>
                <w:rFonts w:ascii="Times New Roman" w:hAnsi="Times New Roman"/>
                <w:kern w:val="0"/>
                <w:sz w:val="24"/>
                <w:szCs w:val="24"/>
              </w:rPr>
            </w:pPr>
            <w:r>
              <w:rPr>
                <w:rFonts w:ascii="Times New Roman" w:hAnsi="Times New Roman" w:eastAsia="仿宋"/>
                <w:kern w:val="0"/>
                <w:sz w:val="24"/>
                <w:szCs w:val="24"/>
              </w:rPr>
              <w:t>3</w:t>
            </w:r>
          </w:p>
        </w:tc>
        <w:tc>
          <w:tcPr>
            <w:tcW w:w="676" w:type="dxa"/>
            <w:vAlign w:val="center"/>
          </w:tcPr>
          <w:p w14:paraId="2042A17E">
            <w:pPr>
              <w:widowControl/>
              <w:jc w:val="center"/>
              <w:rPr>
                <w:rFonts w:ascii="Times New Roman" w:hAnsi="Times New Roman"/>
                <w:kern w:val="0"/>
                <w:sz w:val="24"/>
                <w:szCs w:val="24"/>
              </w:rPr>
            </w:pPr>
            <w:r>
              <w:rPr>
                <w:rFonts w:ascii="Times New Roman" w:hAnsi="Times New Roman" w:eastAsia="仿宋"/>
                <w:kern w:val="0"/>
                <w:sz w:val="24"/>
                <w:szCs w:val="24"/>
              </w:rPr>
              <w:t>3</w:t>
            </w:r>
          </w:p>
        </w:tc>
        <w:tc>
          <w:tcPr>
            <w:tcW w:w="3260" w:type="dxa"/>
            <w:shd w:val="clear" w:color="auto" w:fill="auto"/>
            <w:vAlign w:val="center"/>
          </w:tcPr>
          <w:p w14:paraId="6CA4E501">
            <w:pPr>
              <w:widowControl/>
              <w:jc w:val="left"/>
              <w:rPr>
                <w:rFonts w:ascii="Times New Roman" w:hAnsi="Times New Roman" w:eastAsia="仿宋"/>
                <w:sz w:val="24"/>
                <w:szCs w:val="24"/>
              </w:rPr>
            </w:pPr>
            <w:r>
              <w:rPr>
                <w:rFonts w:hint="eastAsia" w:ascii="Times New Roman" w:hAnsi="Times New Roman" w:eastAsia="仿宋"/>
                <w:sz w:val="24"/>
                <w:szCs w:val="24"/>
              </w:rPr>
              <w:t>工作服务是否到位</w:t>
            </w:r>
          </w:p>
        </w:tc>
      </w:tr>
      <w:tr w14:paraId="46D965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7" w:hRule="atLeast"/>
        </w:trPr>
        <w:tc>
          <w:tcPr>
            <w:tcW w:w="2268" w:type="dxa"/>
            <w:vMerge w:val="continue"/>
            <w:vAlign w:val="center"/>
          </w:tcPr>
          <w:p w14:paraId="0729B591">
            <w:pPr>
              <w:widowControl/>
              <w:jc w:val="left"/>
              <w:rPr>
                <w:rFonts w:ascii="Times New Roman" w:hAnsi="Times New Roman"/>
                <w:kern w:val="0"/>
                <w:sz w:val="24"/>
                <w:szCs w:val="24"/>
              </w:rPr>
            </w:pPr>
          </w:p>
        </w:tc>
        <w:tc>
          <w:tcPr>
            <w:tcW w:w="2123" w:type="dxa"/>
            <w:vMerge w:val="continue"/>
            <w:vAlign w:val="center"/>
          </w:tcPr>
          <w:p w14:paraId="6720F3F8">
            <w:pPr>
              <w:widowControl/>
              <w:jc w:val="left"/>
              <w:rPr>
                <w:rFonts w:ascii="Times New Roman" w:hAnsi="Times New Roman"/>
                <w:kern w:val="0"/>
                <w:sz w:val="24"/>
                <w:szCs w:val="24"/>
              </w:rPr>
            </w:pPr>
          </w:p>
        </w:tc>
        <w:tc>
          <w:tcPr>
            <w:tcW w:w="3828" w:type="dxa"/>
            <w:shd w:val="clear" w:color="auto" w:fill="auto"/>
            <w:vAlign w:val="center"/>
          </w:tcPr>
          <w:p w14:paraId="1D9B243D">
            <w:pPr>
              <w:widowControl/>
              <w:jc w:val="left"/>
              <w:rPr>
                <w:rFonts w:ascii="Times New Roman" w:hAnsi="Times New Roman" w:eastAsia="仿宋"/>
                <w:kern w:val="0"/>
                <w:sz w:val="24"/>
                <w:szCs w:val="24"/>
              </w:rPr>
            </w:pPr>
            <w:r>
              <w:rPr>
                <w:rFonts w:ascii="Times New Roman" w:hAnsi="Times New Roman" w:eastAsia="仿宋"/>
                <w:kern w:val="0"/>
                <w:sz w:val="24"/>
                <w:szCs w:val="24"/>
              </w:rPr>
              <w:t>C13</w:t>
            </w:r>
            <w:r>
              <w:rPr>
                <w:rFonts w:hint="eastAsia" w:ascii="Times New Roman" w:hAnsi="Times New Roman" w:eastAsia="仿宋"/>
                <w:kern w:val="0"/>
                <w:sz w:val="24"/>
                <w:szCs w:val="24"/>
              </w:rPr>
              <w:t>建立服务对象回访机制</w:t>
            </w:r>
          </w:p>
        </w:tc>
        <w:tc>
          <w:tcPr>
            <w:tcW w:w="850" w:type="dxa"/>
            <w:shd w:val="clear" w:color="auto" w:fill="auto"/>
            <w:vAlign w:val="center"/>
          </w:tcPr>
          <w:p w14:paraId="7C3A6BE9">
            <w:pPr>
              <w:widowControl/>
              <w:jc w:val="center"/>
              <w:rPr>
                <w:rFonts w:ascii="Times New Roman" w:hAnsi="Times New Roman"/>
                <w:kern w:val="0"/>
                <w:sz w:val="24"/>
                <w:szCs w:val="24"/>
              </w:rPr>
            </w:pPr>
            <w:r>
              <w:rPr>
                <w:rFonts w:ascii="Times New Roman" w:hAnsi="Times New Roman" w:eastAsia="仿宋"/>
                <w:kern w:val="0"/>
                <w:sz w:val="24"/>
                <w:szCs w:val="24"/>
              </w:rPr>
              <w:t>2</w:t>
            </w:r>
          </w:p>
        </w:tc>
        <w:tc>
          <w:tcPr>
            <w:tcW w:w="676" w:type="dxa"/>
            <w:vAlign w:val="center"/>
          </w:tcPr>
          <w:p w14:paraId="001B603C">
            <w:pPr>
              <w:widowControl/>
              <w:jc w:val="center"/>
              <w:rPr>
                <w:rFonts w:ascii="Times New Roman" w:hAnsi="Times New Roman"/>
                <w:kern w:val="0"/>
                <w:sz w:val="24"/>
                <w:szCs w:val="24"/>
              </w:rPr>
            </w:pPr>
            <w:r>
              <w:rPr>
                <w:rFonts w:ascii="Times New Roman" w:hAnsi="Times New Roman" w:eastAsia="仿宋"/>
                <w:kern w:val="0"/>
                <w:sz w:val="24"/>
                <w:szCs w:val="24"/>
              </w:rPr>
              <w:t>2</w:t>
            </w:r>
          </w:p>
        </w:tc>
        <w:tc>
          <w:tcPr>
            <w:tcW w:w="3260" w:type="dxa"/>
            <w:shd w:val="clear" w:color="auto" w:fill="auto"/>
            <w:vAlign w:val="center"/>
          </w:tcPr>
          <w:p w14:paraId="1F7B240E">
            <w:pPr>
              <w:widowControl/>
              <w:jc w:val="left"/>
              <w:rPr>
                <w:rFonts w:ascii="Times New Roman" w:hAnsi="Times New Roman" w:eastAsia="仿宋"/>
                <w:sz w:val="24"/>
                <w:szCs w:val="24"/>
              </w:rPr>
            </w:pPr>
            <w:r>
              <w:rPr>
                <w:rFonts w:hint="eastAsia" w:ascii="Times New Roman" w:hAnsi="Times New Roman" w:eastAsia="仿宋"/>
                <w:sz w:val="24"/>
                <w:szCs w:val="24"/>
              </w:rPr>
              <w:t>是否定期回访，收集</w:t>
            </w:r>
            <w:r>
              <w:rPr>
                <w:rFonts w:ascii="Times New Roman" w:hAnsi="Times New Roman" w:eastAsia="仿宋"/>
                <w:sz w:val="24"/>
                <w:szCs w:val="24"/>
              </w:rPr>
              <w:t>服务对象</w:t>
            </w:r>
            <w:r>
              <w:rPr>
                <w:rFonts w:hint="eastAsia" w:ascii="Times New Roman" w:hAnsi="Times New Roman" w:eastAsia="仿宋"/>
                <w:sz w:val="24"/>
                <w:szCs w:val="24"/>
              </w:rPr>
              <w:t>意见</w:t>
            </w:r>
          </w:p>
        </w:tc>
      </w:tr>
      <w:tr w14:paraId="397FF4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240CDEFA">
            <w:pPr>
              <w:widowControl/>
              <w:jc w:val="left"/>
              <w:rPr>
                <w:rFonts w:ascii="Times New Roman" w:hAnsi="Times New Roman"/>
                <w:kern w:val="0"/>
                <w:sz w:val="24"/>
                <w:szCs w:val="24"/>
              </w:rPr>
            </w:pPr>
          </w:p>
        </w:tc>
        <w:tc>
          <w:tcPr>
            <w:tcW w:w="2123" w:type="dxa"/>
            <w:vMerge w:val="restart"/>
            <w:shd w:val="clear" w:color="auto" w:fill="auto"/>
            <w:vAlign w:val="center"/>
          </w:tcPr>
          <w:p w14:paraId="5EA73CC3">
            <w:pPr>
              <w:widowControl/>
              <w:jc w:val="left"/>
              <w:rPr>
                <w:rFonts w:ascii="Times New Roman" w:hAnsi="Times New Roman"/>
                <w:kern w:val="0"/>
                <w:sz w:val="24"/>
                <w:szCs w:val="24"/>
              </w:rPr>
            </w:pPr>
            <w:r>
              <w:rPr>
                <w:rFonts w:ascii="Times New Roman" w:hAnsi="Times New Roman" w:eastAsia="仿宋"/>
                <w:kern w:val="0"/>
                <w:sz w:val="24"/>
                <w:szCs w:val="24"/>
              </w:rPr>
              <w:t>C2聚焦流程优化，审验质效不断提升</w:t>
            </w:r>
            <w:r>
              <w:rPr>
                <w:rFonts w:hint="eastAsia" w:ascii="Times New Roman" w:hAnsi="Times New Roman" w:eastAsia="仿宋"/>
                <w:kern w:val="0"/>
                <w:sz w:val="24"/>
                <w:szCs w:val="24"/>
              </w:rPr>
              <w:t>。</w:t>
            </w:r>
            <w:r>
              <w:rPr>
                <w:rFonts w:ascii="Times New Roman" w:hAnsi="Times New Roman" w:eastAsia="仿宋"/>
                <w:kern w:val="0"/>
                <w:sz w:val="24"/>
                <w:szCs w:val="24"/>
              </w:rPr>
              <w:t>（8分）</w:t>
            </w:r>
          </w:p>
        </w:tc>
        <w:tc>
          <w:tcPr>
            <w:tcW w:w="3828" w:type="dxa"/>
            <w:shd w:val="clear" w:color="auto" w:fill="auto"/>
            <w:vAlign w:val="center"/>
          </w:tcPr>
          <w:p w14:paraId="53EF439D">
            <w:pPr>
              <w:widowControl/>
              <w:jc w:val="left"/>
              <w:rPr>
                <w:rFonts w:ascii="Times New Roman" w:hAnsi="Times New Roman" w:eastAsia="仿宋"/>
                <w:kern w:val="0"/>
                <w:sz w:val="24"/>
                <w:szCs w:val="24"/>
              </w:rPr>
            </w:pPr>
            <w:r>
              <w:rPr>
                <w:rFonts w:ascii="Times New Roman" w:hAnsi="Times New Roman" w:eastAsia="仿宋"/>
                <w:kern w:val="0"/>
                <w:sz w:val="24"/>
                <w:szCs w:val="24"/>
              </w:rPr>
              <w:t>C21</w:t>
            </w:r>
            <w:r>
              <w:rPr>
                <w:rFonts w:hint="eastAsia" w:ascii="Times New Roman" w:hAnsi="Times New Roman" w:eastAsia="仿宋"/>
                <w:kern w:val="0"/>
                <w:sz w:val="24"/>
                <w:szCs w:val="24"/>
              </w:rPr>
              <w:t>优化审批流程</w:t>
            </w:r>
          </w:p>
        </w:tc>
        <w:tc>
          <w:tcPr>
            <w:tcW w:w="850" w:type="dxa"/>
            <w:shd w:val="clear" w:color="auto" w:fill="auto"/>
            <w:vAlign w:val="center"/>
          </w:tcPr>
          <w:p w14:paraId="564DD5EB">
            <w:pPr>
              <w:widowControl/>
              <w:jc w:val="center"/>
              <w:rPr>
                <w:rFonts w:ascii="Times New Roman" w:hAnsi="Times New Roman"/>
                <w:kern w:val="0"/>
                <w:sz w:val="24"/>
                <w:szCs w:val="24"/>
              </w:rPr>
            </w:pPr>
            <w:r>
              <w:rPr>
                <w:rFonts w:ascii="Times New Roman" w:hAnsi="Times New Roman" w:eastAsia="仿宋"/>
                <w:kern w:val="0"/>
                <w:sz w:val="24"/>
                <w:szCs w:val="24"/>
              </w:rPr>
              <w:t>3</w:t>
            </w:r>
          </w:p>
        </w:tc>
        <w:tc>
          <w:tcPr>
            <w:tcW w:w="676" w:type="dxa"/>
            <w:vAlign w:val="center"/>
          </w:tcPr>
          <w:p w14:paraId="49D37170">
            <w:pPr>
              <w:widowControl/>
              <w:jc w:val="center"/>
              <w:rPr>
                <w:rFonts w:ascii="Times New Roman" w:hAnsi="Times New Roman"/>
                <w:kern w:val="0"/>
                <w:sz w:val="24"/>
                <w:szCs w:val="24"/>
              </w:rPr>
            </w:pPr>
            <w:r>
              <w:rPr>
                <w:rFonts w:ascii="Times New Roman" w:hAnsi="Times New Roman" w:eastAsia="仿宋"/>
                <w:kern w:val="0"/>
                <w:sz w:val="24"/>
                <w:szCs w:val="24"/>
              </w:rPr>
              <w:t>3</w:t>
            </w:r>
          </w:p>
        </w:tc>
        <w:tc>
          <w:tcPr>
            <w:tcW w:w="3260" w:type="dxa"/>
            <w:shd w:val="clear" w:color="auto" w:fill="auto"/>
            <w:vAlign w:val="center"/>
          </w:tcPr>
          <w:p w14:paraId="5FD6EE92">
            <w:pPr>
              <w:widowControl/>
              <w:jc w:val="left"/>
              <w:rPr>
                <w:rFonts w:ascii="Times New Roman" w:hAnsi="Times New Roman" w:eastAsia="仿宋"/>
                <w:sz w:val="24"/>
                <w:szCs w:val="24"/>
              </w:rPr>
            </w:pPr>
            <w:r>
              <w:rPr>
                <w:rFonts w:hint="eastAsia" w:ascii="Times New Roman" w:hAnsi="Times New Roman" w:eastAsia="仿宋"/>
                <w:sz w:val="24"/>
                <w:szCs w:val="24"/>
              </w:rPr>
              <w:t>消防审验审批工作是否程序合法、</w:t>
            </w:r>
            <w:r>
              <w:rPr>
                <w:rFonts w:ascii="Times New Roman" w:hAnsi="Times New Roman" w:eastAsia="仿宋"/>
                <w:sz w:val="24"/>
                <w:szCs w:val="24"/>
              </w:rPr>
              <w:t>要件齐全、时限合规</w:t>
            </w:r>
          </w:p>
        </w:tc>
      </w:tr>
      <w:tr w14:paraId="7609F6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225A12DD">
            <w:pPr>
              <w:widowControl/>
              <w:jc w:val="left"/>
              <w:rPr>
                <w:rFonts w:ascii="Times New Roman" w:hAnsi="Times New Roman"/>
                <w:kern w:val="0"/>
                <w:sz w:val="24"/>
                <w:szCs w:val="24"/>
              </w:rPr>
            </w:pPr>
          </w:p>
        </w:tc>
        <w:tc>
          <w:tcPr>
            <w:tcW w:w="2123" w:type="dxa"/>
            <w:vMerge w:val="continue"/>
            <w:vAlign w:val="center"/>
          </w:tcPr>
          <w:p w14:paraId="29C6EBF3">
            <w:pPr>
              <w:widowControl/>
              <w:jc w:val="left"/>
              <w:rPr>
                <w:rFonts w:ascii="Times New Roman" w:hAnsi="Times New Roman"/>
                <w:kern w:val="0"/>
                <w:sz w:val="24"/>
                <w:szCs w:val="24"/>
              </w:rPr>
            </w:pPr>
          </w:p>
        </w:tc>
        <w:tc>
          <w:tcPr>
            <w:tcW w:w="3828" w:type="dxa"/>
            <w:shd w:val="clear" w:color="auto" w:fill="auto"/>
            <w:vAlign w:val="center"/>
          </w:tcPr>
          <w:p w14:paraId="26170FC2">
            <w:pPr>
              <w:widowControl/>
              <w:jc w:val="left"/>
              <w:rPr>
                <w:rFonts w:ascii="Times New Roman" w:hAnsi="Times New Roman"/>
                <w:kern w:val="0"/>
                <w:sz w:val="24"/>
                <w:szCs w:val="24"/>
              </w:rPr>
            </w:pPr>
            <w:r>
              <w:rPr>
                <w:rFonts w:ascii="Times New Roman" w:hAnsi="Times New Roman" w:eastAsia="仿宋"/>
                <w:kern w:val="0"/>
                <w:sz w:val="24"/>
                <w:szCs w:val="24"/>
              </w:rPr>
              <w:t>C22</w:t>
            </w:r>
            <w:r>
              <w:rPr>
                <w:rFonts w:ascii="Times New Roman" w:hAnsi="Times New Roman" w:eastAsia="仿宋"/>
                <w:sz w:val="24"/>
                <w:szCs w:val="24"/>
              </w:rPr>
              <w:t>规范工作标准</w:t>
            </w:r>
          </w:p>
        </w:tc>
        <w:tc>
          <w:tcPr>
            <w:tcW w:w="850" w:type="dxa"/>
            <w:shd w:val="clear" w:color="auto" w:fill="auto"/>
            <w:vAlign w:val="center"/>
          </w:tcPr>
          <w:p w14:paraId="0C018540">
            <w:pPr>
              <w:widowControl/>
              <w:jc w:val="center"/>
              <w:rPr>
                <w:rFonts w:ascii="Times New Roman" w:hAnsi="Times New Roman"/>
                <w:kern w:val="0"/>
                <w:sz w:val="24"/>
                <w:szCs w:val="24"/>
              </w:rPr>
            </w:pPr>
            <w:r>
              <w:rPr>
                <w:rFonts w:ascii="Times New Roman" w:hAnsi="Times New Roman" w:eastAsia="仿宋"/>
                <w:kern w:val="0"/>
                <w:sz w:val="24"/>
                <w:szCs w:val="24"/>
              </w:rPr>
              <w:t>3</w:t>
            </w:r>
          </w:p>
        </w:tc>
        <w:tc>
          <w:tcPr>
            <w:tcW w:w="676" w:type="dxa"/>
            <w:vAlign w:val="center"/>
          </w:tcPr>
          <w:p w14:paraId="780FB8DA">
            <w:pPr>
              <w:widowControl/>
              <w:jc w:val="center"/>
              <w:rPr>
                <w:rFonts w:ascii="Times New Roman" w:hAnsi="Times New Roman"/>
                <w:kern w:val="0"/>
                <w:sz w:val="24"/>
                <w:szCs w:val="24"/>
              </w:rPr>
            </w:pPr>
            <w:r>
              <w:rPr>
                <w:rFonts w:ascii="Times New Roman" w:hAnsi="Times New Roman" w:eastAsia="仿宋"/>
                <w:kern w:val="0"/>
                <w:sz w:val="24"/>
                <w:szCs w:val="24"/>
              </w:rPr>
              <w:t>3</w:t>
            </w:r>
          </w:p>
        </w:tc>
        <w:tc>
          <w:tcPr>
            <w:tcW w:w="3260" w:type="dxa"/>
            <w:shd w:val="clear" w:color="auto" w:fill="auto"/>
            <w:vAlign w:val="center"/>
          </w:tcPr>
          <w:p w14:paraId="25C23403">
            <w:pPr>
              <w:widowControl/>
              <w:jc w:val="left"/>
              <w:rPr>
                <w:rFonts w:ascii="Times New Roman" w:hAnsi="Times New Roman" w:eastAsia="仿宋"/>
                <w:sz w:val="24"/>
                <w:szCs w:val="24"/>
              </w:rPr>
            </w:pPr>
            <w:r>
              <w:rPr>
                <w:rFonts w:hint="eastAsia" w:ascii="Times New Roman" w:hAnsi="Times New Roman" w:eastAsia="仿宋"/>
                <w:sz w:val="24"/>
                <w:szCs w:val="24"/>
              </w:rPr>
              <w:t>消防审验工作开展是否规范</w:t>
            </w:r>
          </w:p>
        </w:tc>
      </w:tr>
      <w:tr w14:paraId="1D8D21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27F5A314">
            <w:pPr>
              <w:widowControl/>
              <w:jc w:val="left"/>
              <w:rPr>
                <w:rFonts w:ascii="Times New Roman" w:hAnsi="Times New Roman"/>
                <w:kern w:val="0"/>
                <w:sz w:val="24"/>
                <w:szCs w:val="24"/>
              </w:rPr>
            </w:pPr>
          </w:p>
        </w:tc>
        <w:tc>
          <w:tcPr>
            <w:tcW w:w="2123" w:type="dxa"/>
            <w:vMerge w:val="continue"/>
            <w:vAlign w:val="center"/>
          </w:tcPr>
          <w:p w14:paraId="3BE5C2C4">
            <w:pPr>
              <w:widowControl/>
              <w:jc w:val="left"/>
              <w:rPr>
                <w:rFonts w:ascii="Times New Roman" w:hAnsi="Times New Roman"/>
                <w:kern w:val="0"/>
                <w:sz w:val="24"/>
                <w:szCs w:val="24"/>
              </w:rPr>
            </w:pPr>
          </w:p>
        </w:tc>
        <w:tc>
          <w:tcPr>
            <w:tcW w:w="3828" w:type="dxa"/>
            <w:shd w:val="clear" w:color="auto" w:fill="auto"/>
            <w:vAlign w:val="center"/>
          </w:tcPr>
          <w:p w14:paraId="03B3AF71">
            <w:pPr>
              <w:widowControl/>
              <w:jc w:val="left"/>
              <w:rPr>
                <w:rFonts w:ascii="Times New Roman" w:hAnsi="Times New Roman"/>
                <w:kern w:val="0"/>
                <w:sz w:val="24"/>
                <w:szCs w:val="24"/>
              </w:rPr>
            </w:pPr>
            <w:r>
              <w:rPr>
                <w:rFonts w:ascii="Times New Roman" w:hAnsi="Times New Roman" w:eastAsia="仿宋"/>
                <w:kern w:val="0"/>
                <w:sz w:val="24"/>
                <w:szCs w:val="24"/>
              </w:rPr>
              <w:t>C23</w:t>
            </w:r>
            <w:r>
              <w:rPr>
                <w:rFonts w:ascii="Times New Roman" w:hAnsi="Times New Roman" w:eastAsia="仿宋"/>
                <w:sz w:val="24"/>
                <w:szCs w:val="24"/>
              </w:rPr>
              <w:t>强化重点监管</w:t>
            </w:r>
          </w:p>
        </w:tc>
        <w:tc>
          <w:tcPr>
            <w:tcW w:w="850" w:type="dxa"/>
            <w:shd w:val="clear" w:color="auto" w:fill="auto"/>
            <w:vAlign w:val="center"/>
          </w:tcPr>
          <w:p w14:paraId="268470B6">
            <w:pPr>
              <w:widowControl/>
              <w:jc w:val="center"/>
              <w:rPr>
                <w:rFonts w:ascii="Times New Roman" w:hAnsi="Times New Roman"/>
                <w:kern w:val="0"/>
                <w:sz w:val="24"/>
                <w:szCs w:val="24"/>
              </w:rPr>
            </w:pPr>
            <w:r>
              <w:rPr>
                <w:rFonts w:ascii="Times New Roman" w:hAnsi="Times New Roman" w:eastAsia="仿宋"/>
                <w:kern w:val="0"/>
                <w:sz w:val="24"/>
                <w:szCs w:val="24"/>
              </w:rPr>
              <w:t>2</w:t>
            </w:r>
          </w:p>
        </w:tc>
        <w:tc>
          <w:tcPr>
            <w:tcW w:w="676" w:type="dxa"/>
            <w:vAlign w:val="center"/>
          </w:tcPr>
          <w:p w14:paraId="2483541A">
            <w:pPr>
              <w:widowControl/>
              <w:jc w:val="center"/>
              <w:rPr>
                <w:rFonts w:ascii="Times New Roman" w:hAnsi="Times New Roman"/>
                <w:kern w:val="0"/>
                <w:sz w:val="24"/>
                <w:szCs w:val="24"/>
              </w:rPr>
            </w:pPr>
            <w:r>
              <w:rPr>
                <w:rFonts w:ascii="Times New Roman" w:hAnsi="Times New Roman" w:eastAsia="仿宋"/>
                <w:kern w:val="0"/>
                <w:sz w:val="24"/>
                <w:szCs w:val="24"/>
              </w:rPr>
              <w:t>2</w:t>
            </w:r>
          </w:p>
        </w:tc>
        <w:tc>
          <w:tcPr>
            <w:tcW w:w="3260" w:type="dxa"/>
            <w:shd w:val="clear" w:color="auto" w:fill="auto"/>
            <w:vAlign w:val="center"/>
          </w:tcPr>
          <w:p w14:paraId="32377021">
            <w:pPr>
              <w:widowControl/>
              <w:jc w:val="left"/>
              <w:rPr>
                <w:rFonts w:ascii="Times New Roman" w:hAnsi="Times New Roman" w:eastAsia="仿宋"/>
                <w:sz w:val="24"/>
                <w:szCs w:val="24"/>
              </w:rPr>
            </w:pPr>
            <w:r>
              <w:rPr>
                <w:rFonts w:hint="eastAsia" w:ascii="Times New Roman" w:hAnsi="Times New Roman" w:eastAsia="仿宋"/>
                <w:sz w:val="24"/>
                <w:szCs w:val="24"/>
              </w:rPr>
              <w:t>是否制定措施，强化消防审验重点监管</w:t>
            </w:r>
          </w:p>
        </w:tc>
      </w:tr>
      <w:tr w14:paraId="31B42F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5D921A5C">
            <w:pPr>
              <w:widowControl/>
              <w:jc w:val="left"/>
              <w:rPr>
                <w:rFonts w:ascii="Times New Roman" w:hAnsi="Times New Roman"/>
                <w:kern w:val="0"/>
                <w:sz w:val="24"/>
                <w:szCs w:val="24"/>
              </w:rPr>
            </w:pPr>
          </w:p>
        </w:tc>
        <w:tc>
          <w:tcPr>
            <w:tcW w:w="2123" w:type="dxa"/>
            <w:vMerge w:val="restart"/>
            <w:shd w:val="clear" w:color="auto" w:fill="auto"/>
            <w:vAlign w:val="center"/>
          </w:tcPr>
          <w:p w14:paraId="0E7EDC38">
            <w:pPr>
              <w:widowControl/>
              <w:jc w:val="left"/>
              <w:rPr>
                <w:rFonts w:ascii="Times New Roman" w:hAnsi="Times New Roman"/>
                <w:kern w:val="0"/>
                <w:sz w:val="24"/>
                <w:szCs w:val="24"/>
              </w:rPr>
            </w:pPr>
            <w:r>
              <w:rPr>
                <w:rFonts w:ascii="Times New Roman" w:hAnsi="Times New Roman" w:eastAsia="仿宋"/>
                <w:kern w:val="0"/>
                <w:sz w:val="24"/>
                <w:szCs w:val="24"/>
              </w:rPr>
              <w:t>C3聚焦智慧审验，信息化建设力度加大（8分）</w:t>
            </w:r>
          </w:p>
        </w:tc>
        <w:tc>
          <w:tcPr>
            <w:tcW w:w="3828" w:type="dxa"/>
            <w:shd w:val="clear" w:color="auto" w:fill="auto"/>
            <w:vAlign w:val="center"/>
          </w:tcPr>
          <w:p w14:paraId="29221768">
            <w:pPr>
              <w:widowControl/>
              <w:jc w:val="left"/>
              <w:rPr>
                <w:rFonts w:ascii="Times New Roman" w:hAnsi="Times New Roman" w:eastAsia="仿宋"/>
                <w:kern w:val="0"/>
                <w:sz w:val="24"/>
                <w:szCs w:val="24"/>
              </w:rPr>
            </w:pPr>
            <w:r>
              <w:rPr>
                <w:rFonts w:ascii="Times New Roman" w:hAnsi="Times New Roman" w:eastAsia="仿宋"/>
                <w:kern w:val="0"/>
                <w:sz w:val="24"/>
                <w:szCs w:val="24"/>
              </w:rPr>
              <w:t>C31</w:t>
            </w:r>
            <w:r>
              <w:rPr>
                <w:rFonts w:hint="eastAsia" w:ascii="Times New Roman" w:hAnsi="Times New Roman" w:eastAsia="仿宋"/>
                <w:sz w:val="24"/>
                <w:szCs w:val="24"/>
              </w:rPr>
              <w:t>开展信息化建设</w:t>
            </w:r>
          </w:p>
        </w:tc>
        <w:tc>
          <w:tcPr>
            <w:tcW w:w="850" w:type="dxa"/>
            <w:shd w:val="clear" w:color="auto" w:fill="auto"/>
            <w:vAlign w:val="center"/>
          </w:tcPr>
          <w:p w14:paraId="78C79880">
            <w:pPr>
              <w:widowControl/>
              <w:jc w:val="center"/>
              <w:rPr>
                <w:rFonts w:ascii="Times New Roman" w:hAnsi="Times New Roman"/>
                <w:kern w:val="0"/>
                <w:sz w:val="24"/>
                <w:szCs w:val="24"/>
              </w:rPr>
            </w:pPr>
            <w:r>
              <w:rPr>
                <w:rFonts w:ascii="Times New Roman" w:hAnsi="Times New Roman" w:eastAsia="仿宋"/>
                <w:kern w:val="0"/>
                <w:sz w:val="24"/>
                <w:szCs w:val="24"/>
              </w:rPr>
              <w:t>3</w:t>
            </w:r>
          </w:p>
        </w:tc>
        <w:tc>
          <w:tcPr>
            <w:tcW w:w="676" w:type="dxa"/>
            <w:vAlign w:val="center"/>
          </w:tcPr>
          <w:p w14:paraId="53879A7B">
            <w:pPr>
              <w:widowControl/>
              <w:jc w:val="center"/>
              <w:rPr>
                <w:rFonts w:ascii="Times New Roman" w:hAnsi="Times New Roman"/>
                <w:kern w:val="0"/>
                <w:sz w:val="24"/>
                <w:szCs w:val="24"/>
              </w:rPr>
            </w:pPr>
            <w:r>
              <w:rPr>
                <w:rFonts w:ascii="Times New Roman" w:hAnsi="Times New Roman" w:eastAsia="仿宋"/>
                <w:kern w:val="0"/>
                <w:sz w:val="24"/>
                <w:szCs w:val="24"/>
              </w:rPr>
              <w:t>3</w:t>
            </w:r>
          </w:p>
        </w:tc>
        <w:tc>
          <w:tcPr>
            <w:tcW w:w="3260" w:type="dxa"/>
            <w:shd w:val="clear" w:color="auto" w:fill="auto"/>
            <w:vAlign w:val="center"/>
          </w:tcPr>
          <w:p w14:paraId="5C3DFAD3">
            <w:pPr>
              <w:widowControl/>
              <w:jc w:val="left"/>
              <w:rPr>
                <w:rFonts w:ascii="Times New Roman" w:hAnsi="Times New Roman" w:eastAsia="仿宋"/>
                <w:sz w:val="24"/>
                <w:szCs w:val="24"/>
              </w:rPr>
            </w:pPr>
            <w:r>
              <w:rPr>
                <w:rFonts w:hint="eastAsia" w:ascii="Times New Roman" w:hAnsi="Times New Roman" w:eastAsia="仿宋"/>
                <w:sz w:val="24"/>
                <w:szCs w:val="24"/>
              </w:rPr>
              <w:t>是否积极开展信息化建设</w:t>
            </w:r>
          </w:p>
        </w:tc>
      </w:tr>
      <w:tr w14:paraId="310938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54387EE0">
            <w:pPr>
              <w:widowControl/>
              <w:jc w:val="left"/>
              <w:rPr>
                <w:rFonts w:ascii="Times New Roman" w:hAnsi="Times New Roman"/>
                <w:kern w:val="0"/>
                <w:sz w:val="24"/>
                <w:szCs w:val="24"/>
              </w:rPr>
            </w:pPr>
          </w:p>
        </w:tc>
        <w:tc>
          <w:tcPr>
            <w:tcW w:w="2123" w:type="dxa"/>
            <w:vMerge w:val="continue"/>
            <w:vAlign w:val="center"/>
          </w:tcPr>
          <w:p w14:paraId="22EDAA9C">
            <w:pPr>
              <w:widowControl/>
              <w:jc w:val="left"/>
              <w:rPr>
                <w:rFonts w:ascii="Times New Roman" w:hAnsi="Times New Roman"/>
                <w:kern w:val="0"/>
                <w:sz w:val="24"/>
                <w:szCs w:val="24"/>
              </w:rPr>
            </w:pPr>
          </w:p>
        </w:tc>
        <w:tc>
          <w:tcPr>
            <w:tcW w:w="3828" w:type="dxa"/>
            <w:shd w:val="clear" w:color="auto" w:fill="auto"/>
            <w:vAlign w:val="center"/>
          </w:tcPr>
          <w:p w14:paraId="57556BF2">
            <w:pPr>
              <w:widowControl/>
              <w:jc w:val="left"/>
              <w:rPr>
                <w:rFonts w:ascii="Times New Roman" w:hAnsi="Times New Roman" w:eastAsia="仿宋"/>
                <w:kern w:val="0"/>
                <w:sz w:val="24"/>
                <w:szCs w:val="24"/>
              </w:rPr>
            </w:pPr>
            <w:r>
              <w:rPr>
                <w:rFonts w:ascii="Times New Roman" w:hAnsi="Times New Roman" w:eastAsia="仿宋"/>
                <w:kern w:val="0"/>
                <w:sz w:val="24"/>
                <w:szCs w:val="24"/>
              </w:rPr>
              <w:t>C32</w:t>
            </w:r>
            <w:r>
              <w:rPr>
                <w:rFonts w:ascii="Times New Roman" w:hAnsi="Times New Roman" w:eastAsia="仿宋"/>
                <w:sz w:val="24"/>
                <w:szCs w:val="24"/>
              </w:rPr>
              <w:t>建立现场审验“三随机”制度</w:t>
            </w:r>
          </w:p>
        </w:tc>
        <w:tc>
          <w:tcPr>
            <w:tcW w:w="850" w:type="dxa"/>
            <w:shd w:val="clear" w:color="auto" w:fill="auto"/>
            <w:vAlign w:val="center"/>
          </w:tcPr>
          <w:p w14:paraId="5BAD2683">
            <w:pPr>
              <w:widowControl/>
              <w:jc w:val="center"/>
              <w:rPr>
                <w:rFonts w:ascii="Times New Roman" w:hAnsi="Times New Roman"/>
                <w:kern w:val="0"/>
                <w:sz w:val="24"/>
                <w:szCs w:val="24"/>
              </w:rPr>
            </w:pPr>
            <w:r>
              <w:rPr>
                <w:rFonts w:ascii="Times New Roman" w:hAnsi="Times New Roman" w:eastAsia="仿宋"/>
                <w:kern w:val="0"/>
                <w:sz w:val="24"/>
                <w:szCs w:val="24"/>
              </w:rPr>
              <w:t>3</w:t>
            </w:r>
          </w:p>
        </w:tc>
        <w:tc>
          <w:tcPr>
            <w:tcW w:w="676" w:type="dxa"/>
            <w:vAlign w:val="center"/>
          </w:tcPr>
          <w:p w14:paraId="166D3EC4">
            <w:pPr>
              <w:widowControl/>
              <w:jc w:val="center"/>
              <w:rPr>
                <w:rFonts w:ascii="Times New Roman" w:hAnsi="Times New Roman"/>
                <w:kern w:val="0"/>
                <w:sz w:val="24"/>
                <w:szCs w:val="24"/>
              </w:rPr>
            </w:pPr>
            <w:r>
              <w:rPr>
                <w:rFonts w:ascii="Times New Roman" w:hAnsi="Times New Roman" w:eastAsia="仿宋"/>
                <w:kern w:val="0"/>
                <w:sz w:val="24"/>
                <w:szCs w:val="24"/>
              </w:rPr>
              <w:t>3</w:t>
            </w:r>
          </w:p>
        </w:tc>
        <w:tc>
          <w:tcPr>
            <w:tcW w:w="3260" w:type="dxa"/>
            <w:shd w:val="clear" w:color="auto" w:fill="auto"/>
            <w:vAlign w:val="center"/>
          </w:tcPr>
          <w:p w14:paraId="66DFDE40">
            <w:pPr>
              <w:widowControl/>
              <w:jc w:val="left"/>
              <w:rPr>
                <w:rFonts w:ascii="Times New Roman" w:hAnsi="Times New Roman" w:eastAsia="仿宋"/>
                <w:sz w:val="24"/>
                <w:szCs w:val="24"/>
              </w:rPr>
            </w:pPr>
            <w:r>
              <w:rPr>
                <w:rFonts w:hint="eastAsia" w:ascii="Times New Roman" w:hAnsi="Times New Roman" w:eastAsia="仿宋"/>
                <w:sz w:val="24"/>
                <w:szCs w:val="24"/>
              </w:rPr>
              <w:t>是否建立制度并按制度执行</w:t>
            </w:r>
          </w:p>
        </w:tc>
      </w:tr>
      <w:tr w14:paraId="6E7A16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5E4BEC34">
            <w:pPr>
              <w:widowControl/>
              <w:jc w:val="left"/>
              <w:rPr>
                <w:rFonts w:ascii="Times New Roman" w:hAnsi="Times New Roman"/>
                <w:kern w:val="0"/>
                <w:sz w:val="24"/>
                <w:szCs w:val="24"/>
              </w:rPr>
            </w:pPr>
          </w:p>
        </w:tc>
        <w:tc>
          <w:tcPr>
            <w:tcW w:w="2123" w:type="dxa"/>
            <w:vMerge w:val="continue"/>
            <w:vAlign w:val="center"/>
          </w:tcPr>
          <w:p w14:paraId="1A520E08">
            <w:pPr>
              <w:widowControl/>
              <w:jc w:val="left"/>
              <w:rPr>
                <w:rFonts w:ascii="Times New Roman" w:hAnsi="Times New Roman"/>
                <w:kern w:val="0"/>
                <w:sz w:val="24"/>
                <w:szCs w:val="24"/>
              </w:rPr>
            </w:pPr>
          </w:p>
        </w:tc>
        <w:tc>
          <w:tcPr>
            <w:tcW w:w="3828" w:type="dxa"/>
            <w:shd w:val="clear" w:color="auto" w:fill="auto"/>
            <w:vAlign w:val="center"/>
          </w:tcPr>
          <w:p w14:paraId="5042AF5A">
            <w:pPr>
              <w:widowControl/>
              <w:jc w:val="left"/>
              <w:rPr>
                <w:rFonts w:ascii="Times New Roman" w:hAnsi="Times New Roman" w:eastAsia="仿宋"/>
                <w:kern w:val="0"/>
                <w:sz w:val="24"/>
                <w:szCs w:val="24"/>
              </w:rPr>
            </w:pPr>
            <w:r>
              <w:rPr>
                <w:rFonts w:ascii="Times New Roman" w:hAnsi="Times New Roman" w:eastAsia="仿宋"/>
                <w:kern w:val="0"/>
                <w:sz w:val="24"/>
                <w:szCs w:val="24"/>
              </w:rPr>
              <w:t>C33</w:t>
            </w:r>
            <w:r>
              <w:rPr>
                <w:rFonts w:hint="eastAsia" w:ascii="Times New Roman" w:hAnsi="Times New Roman" w:eastAsia="仿宋"/>
                <w:kern w:val="0"/>
                <w:sz w:val="24"/>
                <w:szCs w:val="24"/>
              </w:rPr>
              <w:t>是否实现各平台数据对接</w:t>
            </w:r>
          </w:p>
        </w:tc>
        <w:tc>
          <w:tcPr>
            <w:tcW w:w="850" w:type="dxa"/>
            <w:shd w:val="clear" w:color="auto" w:fill="auto"/>
            <w:vAlign w:val="center"/>
          </w:tcPr>
          <w:p w14:paraId="55FF9636">
            <w:pPr>
              <w:widowControl/>
              <w:jc w:val="center"/>
              <w:rPr>
                <w:rFonts w:ascii="Times New Roman" w:hAnsi="Times New Roman"/>
                <w:kern w:val="0"/>
                <w:sz w:val="24"/>
                <w:szCs w:val="24"/>
              </w:rPr>
            </w:pPr>
            <w:r>
              <w:rPr>
                <w:rFonts w:ascii="Times New Roman" w:hAnsi="Times New Roman" w:eastAsia="仿宋"/>
                <w:kern w:val="0"/>
                <w:sz w:val="24"/>
                <w:szCs w:val="24"/>
              </w:rPr>
              <w:t>2</w:t>
            </w:r>
          </w:p>
        </w:tc>
        <w:tc>
          <w:tcPr>
            <w:tcW w:w="676" w:type="dxa"/>
            <w:vAlign w:val="center"/>
          </w:tcPr>
          <w:p w14:paraId="34B9D939">
            <w:pPr>
              <w:widowControl/>
              <w:jc w:val="center"/>
              <w:rPr>
                <w:rFonts w:ascii="Times New Roman" w:hAnsi="Times New Roman"/>
                <w:kern w:val="0"/>
                <w:sz w:val="24"/>
                <w:szCs w:val="24"/>
              </w:rPr>
            </w:pPr>
            <w:r>
              <w:rPr>
                <w:rFonts w:ascii="Times New Roman" w:hAnsi="Times New Roman" w:eastAsia="仿宋"/>
                <w:kern w:val="0"/>
                <w:sz w:val="24"/>
                <w:szCs w:val="24"/>
              </w:rPr>
              <w:t>2</w:t>
            </w:r>
          </w:p>
        </w:tc>
        <w:tc>
          <w:tcPr>
            <w:tcW w:w="3260" w:type="dxa"/>
            <w:shd w:val="clear" w:color="auto" w:fill="auto"/>
            <w:vAlign w:val="center"/>
          </w:tcPr>
          <w:p w14:paraId="595F01A9">
            <w:pPr>
              <w:widowControl/>
              <w:jc w:val="left"/>
              <w:rPr>
                <w:rFonts w:ascii="Times New Roman" w:hAnsi="Times New Roman" w:eastAsia="仿宋"/>
                <w:sz w:val="24"/>
                <w:szCs w:val="24"/>
              </w:rPr>
            </w:pPr>
            <w:r>
              <w:rPr>
                <w:rFonts w:hint="eastAsia" w:ascii="Times New Roman" w:hAnsi="Times New Roman" w:eastAsia="仿宋"/>
                <w:sz w:val="24"/>
                <w:szCs w:val="24"/>
              </w:rPr>
              <w:t>是否实现平台数据对接</w:t>
            </w:r>
          </w:p>
        </w:tc>
      </w:tr>
      <w:tr w14:paraId="6DDB93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4D594C18">
            <w:pPr>
              <w:widowControl/>
              <w:jc w:val="left"/>
              <w:rPr>
                <w:rFonts w:ascii="Times New Roman" w:hAnsi="Times New Roman"/>
                <w:kern w:val="0"/>
                <w:sz w:val="24"/>
                <w:szCs w:val="24"/>
              </w:rPr>
            </w:pPr>
          </w:p>
        </w:tc>
        <w:tc>
          <w:tcPr>
            <w:tcW w:w="2123" w:type="dxa"/>
            <w:vMerge w:val="restart"/>
            <w:shd w:val="clear" w:color="auto" w:fill="auto"/>
            <w:vAlign w:val="center"/>
          </w:tcPr>
          <w:p w14:paraId="7D45B47D">
            <w:pPr>
              <w:widowControl/>
              <w:jc w:val="left"/>
              <w:rPr>
                <w:rFonts w:ascii="Times New Roman" w:hAnsi="Times New Roman"/>
                <w:kern w:val="0"/>
                <w:sz w:val="24"/>
                <w:szCs w:val="24"/>
              </w:rPr>
            </w:pPr>
            <w:r>
              <w:rPr>
                <w:rFonts w:ascii="Times New Roman" w:hAnsi="Times New Roman" w:eastAsia="仿宋"/>
                <w:kern w:val="0"/>
                <w:sz w:val="24"/>
                <w:szCs w:val="24"/>
              </w:rPr>
              <w:t>C4聚焦机制创新，审验模式逐渐完善</w:t>
            </w:r>
            <w:r>
              <w:rPr>
                <w:rFonts w:hint="eastAsia" w:ascii="Times New Roman" w:hAnsi="Times New Roman" w:eastAsia="仿宋"/>
                <w:kern w:val="0"/>
                <w:sz w:val="24"/>
                <w:szCs w:val="24"/>
              </w:rPr>
              <w:t>。</w:t>
            </w:r>
            <w:r>
              <w:rPr>
                <w:rFonts w:ascii="Times New Roman" w:hAnsi="Times New Roman" w:eastAsia="仿宋"/>
                <w:kern w:val="0"/>
                <w:sz w:val="24"/>
                <w:szCs w:val="24"/>
              </w:rPr>
              <w:t>（6分）</w:t>
            </w:r>
          </w:p>
        </w:tc>
        <w:tc>
          <w:tcPr>
            <w:tcW w:w="3828" w:type="dxa"/>
            <w:shd w:val="clear" w:color="auto" w:fill="auto"/>
            <w:vAlign w:val="center"/>
          </w:tcPr>
          <w:p w14:paraId="5280FA42">
            <w:pPr>
              <w:widowControl/>
              <w:jc w:val="left"/>
              <w:rPr>
                <w:rFonts w:ascii="Times New Roman" w:hAnsi="Times New Roman"/>
                <w:kern w:val="0"/>
                <w:sz w:val="24"/>
                <w:szCs w:val="24"/>
              </w:rPr>
            </w:pPr>
            <w:r>
              <w:rPr>
                <w:rFonts w:ascii="Times New Roman" w:hAnsi="Times New Roman" w:eastAsia="仿宋"/>
                <w:kern w:val="0"/>
                <w:sz w:val="24"/>
                <w:szCs w:val="24"/>
              </w:rPr>
              <w:t>C41</w:t>
            </w:r>
            <w:r>
              <w:rPr>
                <w:rFonts w:ascii="Times New Roman" w:hAnsi="Times New Roman" w:eastAsia="仿宋"/>
                <w:sz w:val="24"/>
                <w:szCs w:val="24"/>
              </w:rPr>
              <w:t>引入第三方</w:t>
            </w:r>
            <w:r>
              <w:rPr>
                <w:rFonts w:hint="eastAsia" w:ascii="Times New Roman" w:hAnsi="Times New Roman" w:eastAsia="仿宋"/>
                <w:sz w:val="24"/>
                <w:szCs w:val="24"/>
              </w:rPr>
              <w:t>服务</w:t>
            </w:r>
            <w:r>
              <w:rPr>
                <w:rFonts w:ascii="Times New Roman" w:hAnsi="Times New Roman" w:eastAsia="仿宋"/>
                <w:sz w:val="24"/>
                <w:szCs w:val="24"/>
              </w:rPr>
              <w:t>机构，构建透明公正的消防审验机制</w:t>
            </w:r>
          </w:p>
        </w:tc>
        <w:tc>
          <w:tcPr>
            <w:tcW w:w="850" w:type="dxa"/>
            <w:shd w:val="clear" w:color="auto" w:fill="auto"/>
            <w:vAlign w:val="center"/>
          </w:tcPr>
          <w:p w14:paraId="06E8BE68">
            <w:pPr>
              <w:widowControl/>
              <w:jc w:val="center"/>
              <w:rPr>
                <w:rFonts w:ascii="Times New Roman" w:hAnsi="Times New Roman"/>
                <w:kern w:val="0"/>
                <w:sz w:val="24"/>
                <w:szCs w:val="24"/>
              </w:rPr>
            </w:pPr>
            <w:r>
              <w:rPr>
                <w:rFonts w:ascii="Times New Roman" w:hAnsi="Times New Roman" w:eastAsia="仿宋"/>
                <w:kern w:val="0"/>
                <w:sz w:val="24"/>
                <w:szCs w:val="24"/>
              </w:rPr>
              <w:t>3</w:t>
            </w:r>
          </w:p>
        </w:tc>
        <w:tc>
          <w:tcPr>
            <w:tcW w:w="676" w:type="dxa"/>
            <w:vAlign w:val="center"/>
          </w:tcPr>
          <w:p w14:paraId="51184CB7">
            <w:pPr>
              <w:widowControl/>
              <w:jc w:val="center"/>
              <w:rPr>
                <w:rFonts w:ascii="Times New Roman" w:hAnsi="Times New Roman"/>
                <w:kern w:val="0"/>
                <w:sz w:val="24"/>
                <w:szCs w:val="24"/>
              </w:rPr>
            </w:pPr>
            <w:r>
              <w:rPr>
                <w:rFonts w:ascii="Times New Roman" w:hAnsi="Times New Roman" w:eastAsia="仿宋"/>
                <w:kern w:val="0"/>
                <w:sz w:val="24"/>
                <w:szCs w:val="24"/>
              </w:rPr>
              <w:t>3</w:t>
            </w:r>
          </w:p>
        </w:tc>
        <w:tc>
          <w:tcPr>
            <w:tcW w:w="3260" w:type="dxa"/>
            <w:shd w:val="clear" w:color="auto" w:fill="auto"/>
            <w:vAlign w:val="center"/>
          </w:tcPr>
          <w:p w14:paraId="43811917">
            <w:pPr>
              <w:widowControl/>
              <w:jc w:val="left"/>
              <w:rPr>
                <w:rFonts w:ascii="Times New Roman" w:hAnsi="Times New Roman" w:eastAsia="仿宋"/>
                <w:sz w:val="24"/>
                <w:szCs w:val="24"/>
              </w:rPr>
            </w:pPr>
            <w:r>
              <w:rPr>
                <w:rFonts w:hint="eastAsia" w:ascii="Times New Roman" w:hAnsi="Times New Roman" w:eastAsia="仿宋"/>
                <w:sz w:val="24"/>
                <w:szCs w:val="24"/>
              </w:rPr>
              <w:t>是否构建透明公正的消防审验机制。</w:t>
            </w:r>
          </w:p>
        </w:tc>
      </w:tr>
      <w:tr w14:paraId="6F0740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76D21E24">
            <w:pPr>
              <w:widowControl/>
              <w:jc w:val="left"/>
              <w:rPr>
                <w:rFonts w:ascii="Times New Roman" w:hAnsi="Times New Roman"/>
                <w:kern w:val="0"/>
                <w:sz w:val="24"/>
                <w:szCs w:val="24"/>
              </w:rPr>
            </w:pPr>
          </w:p>
        </w:tc>
        <w:tc>
          <w:tcPr>
            <w:tcW w:w="2123" w:type="dxa"/>
            <w:vMerge w:val="continue"/>
            <w:shd w:val="clear" w:color="auto" w:fill="auto"/>
            <w:vAlign w:val="center"/>
          </w:tcPr>
          <w:p w14:paraId="5BD55F1E">
            <w:pPr>
              <w:widowControl/>
              <w:jc w:val="left"/>
              <w:rPr>
                <w:rFonts w:ascii="Times New Roman" w:hAnsi="Times New Roman"/>
                <w:kern w:val="0"/>
                <w:sz w:val="24"/>
                <w:szCs w:val="24"/>
              </w:rPr>
            </w:pPr>
          </w:p>
        </w:tc>
        <w:tc>
          <w:tcPr>
            <w:tcW w:w="3828" w:type="dxa"/>
            <w:shd w:val="clear" w:color="auto" w:fill="auto"/>
            <w:vAlign w:val="center"/>
          </w:tcPr>
          <w:p w14:paraId="00B8ADF0">
            <w:pPr>
              <w:widowControl/>
              <w:jc w:val="left"/>
              <w:rPr>
                <w:rFonts w:ascii="Times New Roman" w:hAnsi="Times New Roman"/>
                <w:kern w:val="0"/>
                <w:sz w:val="24"/>
                <w:szCs w:val="24"/>
              </w:rPr>
            </w:pPr>
            <w:r>
              <w:rPr>
                <w:rFonts w:ascii="Times New Roman" w:hAnsi="Times New Roman" w:eastAsia="仿宋"/>
                <w:kern w:val="0"/>
                <w:sz w:val="24"/>
                <w:szCs w:val="24"/>
              </w:rPr>
              <w:t>C42</w:t>
            </w:r>
            <w:r>
              <w:rPr>
                <w:rFonts w:ascii="Times New Roman" w:hAnsi="Times New Roman" w:eastAsia="仿宋"/>
                <w:sz w:val="24"/>
                <w:szCs w:val="24"/>
              </w:rPr>
              <w:t>开展第三方</w:t>
            </w:r>
            <w:r>
              <w:rPr>
                <w:rFonts w:hint="eastAsia" w:ascii="Times New Roman" w:hAnsi="Times New Roman" w:eastAsia="仿宋"/>
                <w:sz w:val="24"/>
                <w:szCs w:val="24"/>
              </w:rPr>
              <w:t>服务</w:t>
            </w:r>
            <w:r>
              <w:rPr>
                <w:rFonts w:ascii="Times New Roman" w:hAnsi="Times New Roman" w:eastAsia="仿宋"/>
                <w:sz w:val="24"/>
                <w:szCs w:val="24"/>
              </w:rPr>
              <w:t>机构评价工作，推进消防审验工作全面提升</w:t>
            </w:r>
          </w:p>
        </w:tc>
        <w:tc>
          <w:tcPr>
            <w:tcW w:w="850" w:type="dxa"/>
            <w:shd w:val="clear" w:color="auto" w:fill="auto"/>
            <w:vAlign w:val="center"/>
          </w:tcPr>
          <w:p w14:paraId="14A3C99D">
            <w:pPr>
              <w:widowControl/>
              <w:jc w:val="center"/>
              <w:rPr>
                <w:rFonts w:ascii="Times New Roman" w:hAnsi="Times New Roman"/>
                <w:kern w:val="0"/>
                <w:sz w:val="24"/>
                <w:szCs w:val="24"/>
              </w:rPr>
            </w:pPr>
            <w:r>
              <w:rPr>
                <w:rFonts w:ascii="Times New Roman" w:hAnsi="Times New Roman" w:eastAsia="仿宋"/>
                <w:kern w:val="0"/>
                <w:sz w:val="24"/>
                <w:szCs w:val="24"/>
              </w:rPr>
              <w:t>3</w:t>
            </w:r>
          </w:p>
        </w:tc>
        <w:tc>
          <w:tcPr>
            <w:tcW w:w="676" w:type="dxa"/>
            <w:vAlign w:val="center"/>
          </w:tcPr>
          <w:p w14:paraId="3971E287">
            <w:pPr>
              <w:widowControl/>
              <w:jc w:val="center"/>
              <w:rPr>
                <w:rFonts w:ascii="Times New Roman" w:hAnsi="Times New Roman"/>
                <w:kern w:val="0"/>
                <w:sz w:val="24"/>
                <w:szCs w:val="24"/>
              </w:rPr>
            </w:pPr>
            <w:r>
              <w:rPr>
                <w:rFonts w:ascii="Times New Roman" w:hAnsi="Times New Roman" w:eastAsia="仿宋"/>
                <w:kern w:val="0"/>
                <w:sz w:val="24"/>
                <w:szCs w:val="24"/>
              </w:rPr>
              <w:t>3</w:t>
            </w:r>
          </w:p>
        </w:tc>
        <w:tc>
          <w:tcPr>
            <w:tcW w:w="3260" w:type="dxa"/>
            <w:shd w:val="clear" w:color="auto" w:fill="auto"/>
            <w:vAlign w:val="center"/>
          </w:tcPr>
          <w:p w14:paraId="2320B54C">
            <w:pPr>
              <w:widowControl/>
              <w:jc w:val="left"/>
              <w:rPr>
                <w:rFonts w:ascii="Times New Roman" w:hAnsi="Times New Roman" w:eastAsia="仿宋"/>
                <w:sz w:val="24"/>
                <w:szCs w:val="24"/>
              </w:rPr>
            </w:pPr>
            <w:r>
              <w:rPr>
                <w:rFonts w:ascii="Times New Roman" w:hAnsi="Times New Roman" w:eastAsia="仿宋"/>
                <w:sz w:val="24"/>
                <w:szCs w:val="24"/>
              </w:rPr>
              <w:t>是否按时完成</w:t>
            </w:r>
            <w:r>
              <w:rPr>
                <w:rFonts w:hint="eastAsia" w:ascii="Times New Roman" w:hAnsi="Times New Roman" w:eastAsia="仿宋"/>
                <w:sz w:val="24"/>
                <w:szCs w:val="24"/>
              </w:rPr>
              <w:t>评价工作</w:t>
            </w:r>
          </w:p>
        </w:tc>
      </w:tr>
      <w:tr w14:paraId="4D421C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restart"/>
            <w:shd w:val="clear" w:color="auto" w:fill="auto"/>
            <w:noWrap/>
            <w:vAlign w:val="center"/>
          </w:tcPr>
          <w:p w14:paraId="29144D2B">
            <w:pPr>
              <w:widowControl/>
              <w:jc w:val="left"/>
              <w:rPr>
                <w:rFonts w:ascii="Times New Roman" w:hAnsi="Times New Roman"/>
                <w:kern w:val="0"/>
                <w:sz w:val="24"/>
                <w:szCs w:val="24"/>
              </w:rPr>
            </w:pPr>
            <w:r>
              <w:rPr>
                <w:rFonts w:ascii="Times New Roman" w:hAnsi="Times New Roman" w:eastAsia="仿宋"/>
                <w:kern w:val="0"/>
                <w:sz w:val="24"/>
                <w:szCs w:val="24"/>
              </w:rPr>
              <w:t>D履职绩效（35分）</w:t>
            </w:r>
          </w:p>
        </w:tc>
        <w:tc>
          <w:tcPr>
            <w:tcW w:w="2123" w:type="dxa"/>
            <w:shd w:val="clear" w:color="auto" w:fill="auto"/>
            <w:vAlign w:val="center"/>
          </w:tcPr>
          <w:p w14:paraId="6E6DA3EA">
            <w:pPr>
              <w:widowControl/>
              <w:jc w:val="left"/>
              <w:rPr>
                <w:rFonts w:ascii="Times New Roman" w:hAnsi="Times New Roman"/>
                <w:kern w:val="0"/>
                <w:sz w:val="24"/>
                <w:szCs w:val="24"/>
              </w:rPr>
            </w:pPr>
            <w:r>
              <w:rPr>
                <w:rFonts w:ascii="Times New Roman" w:hAnsi="Times New Roman" w:eastAsia="仿宋"/>
                <w:kern w:val="0"/>
                <w:sz w:val="24"/>
                <w:szCs w:val="24"/>
              </w:rPr>
              <w:t>D1经济效益（8分）</w:t>
            </w:r>
          </w:p>
        </w:tc>
        <w:tc>
          <w:tcPr>
            <w:tcW w:w="3828" w:type="dxa"/>
            <w:shd w:val="clear" w:color="auto" w:fill="auto"/>
            <w:vAlign w:val="center"/>
          </w:tcPr>
          <w:p w14:paraId="6F95B24C">
            <w:pPr>
              <w:widowControl/>
              <w:jc w:val="left"/>
              <w:rPr>
                <w:rFonts w:ascii="Times New Roman" w:hAnsi="Times New Roman" w:eastAsia="仿宋"/>
                <w:kern w:val="0"/>
                <w:sz w:val="24"/>
                <w:szCs w:val="24"/>
              </w:rPr>
            </w:pPr>
            <w:r>
              <w:rPr>
                <w:rFonts w:ascii="Times New Roman" w:hAnsi="Times New Roman" w:eastAsia="仿宋"/>
                <w:sz w:val="24"/>
                <w:szCs w:val="24"/>
              </w:rPr>
              <w:t>促进</w:t>
            </w:r>
            <w:r>
              <w:rPr>
                <w:rFonts w:hint="eastAsia" w:ascii="Times New Roman" w:hAnsi="Times New Roman" w:eastAsia="仿宋"/>
                <w:sz w:val="24"/>
                <w:szCs w:val="24"/>
              </w:rPr>
              <w:t>建设</w:t>
            </w:r>
            <w:r>
              <w:rPr>
                <w:rFonts w:ascii="Times New Roman" w:hAnsi="Times New Roman" w:eastAsia="仿宋"/>
                <w:sz w:val="24"/>
                <w:szCs w:val="24"/>
              </w:rPr>
              <w:t>工程成本节约</w:t>
            </w:r>
          </w:p>
        </w:tc>
        <w:tc>
          <w:tcPr>
            <w:tcW w:w="850" w:type="dxa"/>
            <w:shd w:val="clear" w:color="auto" w:fill="auto"/>
            <w:vAlign w:val="center"/>
          </w:tcPr>
          <w:p w14:paraId="7CBF6BC4">
            <w:pPr>
              <w:widowControl/>
              <w:jc w:val="center"/>
              <w:rPr>
                <w:rFonts w:ascii="Times New Roman" w:hAnsi="Times New Roman"/>
                <w:kern w:val="0"/>
                <w:sz w:val="24"/>
                <w:szCs w:val="24"/>
              </w:rPr>
            </w:pPr>
            <w:r>
              <w:rPr>
                <w:rFonts w:ascii="Times New Roman" w:hAnsi="Times New Roman" w:eastAsia="仿宋"/>
                <w:kern w:val="0"/>
                <w:sz w:val="24"/>
                <w:szCs w:val="24"/>
              </w:rPr>
              <w:t>8</w:t>
            </w:r>
          </w:p>
        </w:tc>
        <w:tc>
          <w:tcPr>
            <w:tcW w:w="676" w:type="dxa"/>
            <w:vAlign w:val="center"/>
          </w:tcPr>
          <w:p w14:paraId="7453DF5E">
            <w:pPr>
              <w:widowControl/>
              <w:jc w:val="center"/>
              <w:rPr>
                <w:rFonts w:ascii="Times New Roman" w:hAnsi="Times New Roman"/>
                <w:kern w:val="0"/>
                <w:sz w:val="24"/>
                <w:szCs w:val="24"/>
              </w:rPr>
            </w:pPr>
            <w:r>
              <w:rPr>
                <w:rFonts w:ascii="Times New Roman" w:hAnsi="Times New Roman" w:eastAsia="仿宋"/>
                <w:kern w:val="0"/>
                <w:sz w:val="24"/>
                <w:szCs w:val="24"/>
              </w:rPr>
              <w:t>8</w:t>
            </w:r>
          </w:p>
        </w:tc>
        <w:tc>
          <w:tcPr>
            <w:tcW w:w="3260" w:type="dxa"/>
            <w:shd w:val="clear" w:color="auto" w:fill="auto"/>
            <w:vAlign w:val="center"/>
          </w:tcPr>
          <w:p w14:paraId="1794B614">
            <w:pPr>
              <w:widowControl/>
              <w:rPr>
                <w:rFonts w:ascii="Times New Roman" w:hAnsi="Times New Roman" w:eastAsia="仿宋"/>
                <w:kern w:val="0"/>
                <w:sz w:val="24"/>
                <w:szCs w:val="24"/>
              </w:rPr>
            </w:pPr>
            <w:r>
              <w:rPr>
                <w:rFonts w:hint="eastAsia" w:ascii="Times New Roman" w:hAnsi="Times New Roman" w:eastAsia="仿宋"/>
                <w:sz w:val="24"/>
                <w:szCs w:val="24"/>
              </w:rPr>
              <w:t>提高消防审验质效，助力工程早日投入使用</w:t>
            </w:r>
          </w:p>
        </w:tc>
      </w:tr>
      <w:tr w14:paraId="42A772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4B0D35D5">
            <w:pPr>
              <w:widowControl/>
              <w:jc w:val="left"/>
              <w:rPr>
                <w:rFonts w:ascii="Times New Roman" w:hAnsi="Times New Roman"/>
                <w:kern w:val="0"/>
                <w:sz w:val="24"/>
                <w:szCs w:val="24"/>
              </w:rPr>
            </w:pPr>
          </w:p>
        </w:tc>
        <w:tc>
          <w:tcPr>
            <w:tcW w:w="2123" w:type="dxa"/>
            <w:shd w:val="clear" w:color="auto" w:fill="auto"/>
            <w:vAlign w:val="center"/>
          </w:tcPr>
          <w:p w14:paraId="6237F197">
            <w:pPr>
              <w:widowControl/>
              <w:jc w:val="left"/>
              <w:rPr>
                <w:rFonts w:ascii="Times New Roman" w:hAnsi="Times New Roman"/>
                <w:kern w:val="0"/>
                <w:sz w:val="24"/>
                <w:szCs w:val="24"/>
              </w:rPr>
            </w:pPr>
            <w:r>
              <w:rPr>
                <w:rFonts w:ascii="Times New Roman" w:hAnsi="Times New Roman" w:eastAsia="仿宋"/>
                <w:kern w:val="0"/>
                <w:sz w:val="24"/>
                <w:szCs w:val="24"/>
              </w:rPr>
              <w:t>D2社会效益（15分）</w:t>
            </w:r>
          </w:p>
        </w:tc>
        <w:tc>
          <w:tcPr>
            <w:tcW w:w="3828" w:type="dxa"/>
            <w:shd w:val="clear" w:color="auto" w:fill="auto"/>
            <w:vAlign w:val="center"/>
          </w:tcPr>
          <w:p w14:paraId="0A278A9B">
            <w:pPr>
              <w:widowControl/>
              <w:jc w:val="left"/>
              <w:rPr>
                <w:rFonts w:ascii="Times New Roman" w:hAnsi="Times New Roman"/>
                <w:kern w:val="0"/>
                <w:sz w:val="24"/>
                <w:szCs w:val="24"/>
              </w:rPr>
            </w:pPr>
            <w:r>
              <w:rPr>
                <w:rFonts w:ascii="Times New Roman" w:hAnsi="Times New Roman" w:eastAsia="仿宋"/>
                <w:sz w:val="24"/>
                <w:szCs w:val="24"/>
              </w:rPr>
              <w:t>建设工程安全生产</w:t>
            </w:r>
          </w:p>
        </w:tc>
        <w:tc>
          <w:tcPr>
            <w:tcW w:w="850" w:type="dxa"/>
            <w:shd w:val="clear" w:color="auto" w:fill="auto"/>
            <w:vAlign w:val="center"/>
          </w:tcPr>
          <w:p w14:paraId="3D97BB80">
            <w:pPr>
              <w:widowControl/>
              <w:jc w:val="center"/>
              <w:rPr>
                <w:rFonts w:ascii="Times New Roman" w:hAnsi="Times New Roman"/>
                <w:kern w:val="0"/>
                <w:sz w:val="24"/>
                <w:szCs w:val="24"/>
              </w:rPr>
            </w:pPr>
            <w:r>
              <w:rPr>
                <w:rFonts w:ascii="Times New Roman" w:hAnsi="Times New Roman" w:eastAsia="仿宋"/>
                <w:kern w:val="0"/>
                <w:sz w:val="24"/>
                <w:szCs w:val="24"/>
              </w:rPr>
              <w:t>15</w:t>
            </w:r>
          </w:p>
        </w:tc>
        <w:tc>
          <w:tcPr>
            <w:tcW w:w="676" w:type="dxa"/>
            <w:vAlign w:val="center"/>
          </w:tcPr>
          <w:p w14:paraId="00702EFD">
            <w:pPr>
              <w:widowControl/>
              <w:jc w:val="center"/>
              <w:rPr>
                <w:rFonts w:ascii="Times New Roman" w:hAnsi="Times New Roman"/>
                <w:kern w:val="0"/>
                <w:sz w:val="24"/>
                <w:szCs w:val="24"/>
              </w:rPr>
            </w:pPr>
            <w:r>
              <w:rPr>
                <w:rFonts w:ascii="Times New Roman" w:hAnsi="Times New Roman" w:eastAsia="仿宋"/>
                <w:kern w:val="0"/>
                <w:sz w:val="24"/>
                <w:szCs w:val="24"/>
              </w:rPr>
              <w:t>15</w:t>
            </w:r>
          </w:p>
        </w:tc>
        <w:tc>
          <w:tcPr>
            <w:tcW w:w="3260" w:type="dxa"/>
            <w:shd w:val="clear" w:color="auto" w:fill="auto"/>
            <w:vAlign w:val="center"/>
          </w:tcPr>
          <w:p w14:paraId="2EDEEAE2">
            <w:pPr>
              <w:widowControl/>
              <w:rPr>
                <w:rFonts w:ascii="Times New Roman" w:hAnsi="Times New Roman"/>
                <w:kern w:val="0"/>
                <w:sz w:val="24"/>
                <w:szCs w:val="24"/>
              </w:rPr>
            </w:pPr>
            <w:r>
              <w:rPr>
                <w:rFonts w:ascii="Times New Roman" w:hAnsi="Times New Roman" w:eastAsia="仿宋"/>
                <w:sz w:val="24"/>
                <w:szCs w:val="24"/>
              </w:rPr>
              <w:t>消防安全性达到目标值</w:t>
            </w:r>
          </w:p>
        </w:tc>
      </w:tr>
      <w:tr w14:paraId="1F6458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087DACFC">
            <w:pPr>
              <w:widowControl/>
              <w:jc w:val="left"/>
              <w:rPr>
                <w:rFonts w:ascii="Times New Roman" w:hAnsi="Times New Roman"/>
                <w:kern w:val="0"/>
                <w:sz w:val="24"/>
                <w:szCs w:val="24"/>
              </w:rPr>
            </w:pPr>
          </w:p>
        </w:tc>
        <w:tc>
          <w:tcPr>
            <w:tcW w:w="2123" w:type="dxa"/>
            <w:shd w:val="clear" w:color="auto" w:fill="auto"/>
            <w:vAlign w:val="center"/>
          </w:tcPr>
          <w:p w14:paraId="0418F569">
            <w:pPr>
              <w:widowControl/>
              <w:jc w:val="left"/>
              <w:rPr>
                <w:rFonts w:ascii="Times New Roman" w:hAnsi="Times New Roman"/>
                <w:kern w:val="0"/>
                <w:sz w:val="24"/>
                <w:szCs w:val="24"/>
              </w:rPr>
            </w:pPr>
            <w:r>
              <w:rPr>
                <w:rFonts w:ascii="Times New Roman" w:hAnsi="Times New Roman" w:eastAsia="仿宋"/>
                <w:kern w:val="0"/>
                <w:sz w:val="24"/>
                <w:szCs w:val="24"/>
              </w:rPr>
              <w:t>D</w:t>
            </w:r>
            <w:r>
              <w:rPr>
                <w:rFonts w:hint="eastAsia" w:ascii="Times New Roman" w:hAnsi="Times New Roman" w:eastAsia="仿宋"/>
                <w:kern w:val="0"/>
                <w:sz w:val="24"/>
                <w:szCs w:val="24"/>
              </w:rPr>
              <w:t>3</w:t>
            </w:r>
            <w:r>
              <w:rPr>
                <w:rFonts w:ascii="Times New Roman" w:hAnsi="Times New Roman" w:eastAsia="仿宋"/>
                <w:kern w:val="0"/>
                <w:sz w:val="24"/>
                <w:szCs w:val="24"/>
              </w:rPr>
              <w:t>满意度（12分）</w:t>
            </w:r>
          </w:p>
        </w:tc>
        <w:tc>
          <w:tcPr>
            <w:tcW w:w="3828" w:type="dxa"/>
            <w:shd w:val="clear" w:color="auto" w:fill="auto"/>
            <w:vAlign w:val="center"/>
          </w:tcPr>
          <w:p w14:paraId="10AE2307">
            <w:pPr>
              <w:widowControl/>
              <w:jc w:val="left"/>
              <w:rPr>
                <w:rFonts w:ascii="Times New Roman" w:hAnsi="Times New Roman"/>
                <w:kern w:val="0"/>
                <w:sz w:val="24"/>
                <w:szCs w:val="24"/>
              </w:rPr>
            </w:pPr>
            <w:r>
              <w:rPr>
                <w:rFonts w:ascii="Times New Roman" w:hAnsi="Times New Roman" w:eastAsia="仿宋"/>
                <w:kern w:val="0"/>
                <w:sz w:val="24"/>
                <w:szCs w:val="24"/>
              </w:rPr>
              <w:t>人民群众的满意度是否提升</w:t>
            </w:r>
          </w:p>
        </w:tc>
        <w:tc>
          <w:tcPr>
            <w:tcW w:w="850" w:type="dxa"/>
            <w:shd w:val="clear" w:color="auto" w:fill="auto"/>
            <w:vAlign w:val="center"/>
          </w:tcPr>
          <w:p w14:paraId="2C60164A">
            <w:pPr>
              <w:widowControl/>
              <w:jc w:val="center"/>
              <w:rPr>
                <w:rFonts w:ascii="Times New Roman" w:hAnsi="Times New Roman"/>
                <w:kern w:val="0"/>
                <w:sz w:val="24"/>
                <w:szCs w:val="24"/>
              </w:rPr>
            </w:pPr>
            <w:r>
              <w:rPr>
                <w:rFonts w:hint="eastAsia" w:ascii="Times New Roman" w:hAnsi="Times New Roman" w:eastAsia="仿宋"/>
                <w:kern w:val="0"/>
                <w:sz w:val="24"/>
                <w:szCs w:val="24"/>
              </w:rPr>
              <w:t>12</w:t>
            </w:r>
          </w:p>
        </w:tc>
        <w:tc>
          <w:tcPr>
            <w:tcW w:w="676" w:type="dxa"/>
            <w:vAlign w:val="center"/>
          </w:tcPr>
          <w:p w14:paraId="1099F96A">
            <w:pPr>
              <w:widowControl/>
              <w:jc w:val="center"/>
              <w:rPr>
                <w:rFonts w:ascii="Times New Roman" w:hAnsi="Times New Roman"/>
                <w:kern w:val="0"/>
                <w:sz w:val="24"/>
                <w:szCs w:val="24"/>
              </w:rPr>
            </w:pPr>
            <w:r>
              <w:rPr>
                <w:rFonts w:hint="eastAsia" w:ascii="Times New Roman" w:hAnsi="Times New Roman"/>
                <w:kern w:val="0"/>
                <w:sz w:val="24"/>
                <w:szCs w:val="24"/>
              </w:rPr>
              <w:t>12</w:t>
            </w:r>
          </w:p>
        </w:tc>
        <w:tc>
          <w:tcPr>
            <w:tcW w:w="3260" w:type="dxa"/>
            <w:shd w:val="clear" w:color="auto" w:fill="auto"/>
            <w:vAlign w:val="center"/>
          </w:tcPr>
          <w:p w14:paraId="1B6A8EE1">
            <w:pPr>
              <w:widowControl/>
              <w:jc w:val="left"/>
              <w:rPr>
                <w:rFonts w:ascii="Times New Roman" w:hAnsi="Times New Roman"/>
                <w:kern w:val="0"/>
                <w:sz w:val="24"/>
                <w:szCs w:val="24"/>
              </w:rPr>
            </w:pPr>
            <w:r>
              <w:rPr>
                <w:rFonts w:ascii="Times New Roman" w:hAnsi="Times New Roman" w:eastAsia="仿宋"/>
                <w:kern w:val="0"/>
                <w:sz w:val="24"/>
                <w:szCs w:val="24"/>
              </w:rPr>
              <w:t>根据调查结果评价群众满意度是否提升</w:t>
            </w:r>
          </w:p>
        </w:tc>
      </w:tr>
      <w:tr w14:paraId="076309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restart"/>
            <w:shd w:val="clear" w:color="auto" w:fill="auto"/>
            <w:noWrap/>
            <w:vAlign w:val="center"/>
          </w:tcPr>
          <w:p w14:paraId="70D3D957">
            <w:pPr>
              <w:widowControl/>
              <w:jc w:val="left"/>
              <w:rPr>
                <w:rFonts w:ascii="Times New Roman" w:hAnsi="Times New Roman"/>
                <w:kern w:val="0"/>
                <w:sz w:val="24"/>
                <w:szCs w:val="24"/>
              </w:rPr>
            </w:pPr>
            <w:r>
              <w:rPr>
                <w:rFonts w:ascii="Times New Roman" w:hAnsi="Times New Roman" w:eastAsia="仿宋"/>
                <w:kern w:val="0"/>
                <w:sz w:val="24"/>
                <w:szCs w:val="24"/>
              </w:rPr>
              <w:t>E可持续发展能力（5分）</w:t>
            </w:r>
          </w:p>
        </w:tc>
        <w:tc>
          <w:tcPr>
            <w:tcW w:w="2123" w:type="dxa"/>
            <w:shd w:val="clear" w:color="auto" w:fill="auto"/>
            <w:vAlign w:val="center"/>
          </w:tcPr>
          <w:p w14:paraId="4ECC3A5B">
            <w:pPr>
              <w:widowControl/>
              <w:jc w:val="left"/>
              <w:rPr>
                <w:rFonts w:ascii="Times New Roman" w:hAnsi="Times New Roman"/>
                <w:kern w:val="0"/>
                <w:sz w:val="24"/>
                <w:szCs w:val="24"/>
              </w:rPr>
            </w:pPr>
            <w:r>
              <w:rPr>
                <w:rFonts w:ascii="Times New Roman" w:hAnsi="Times New Roman" w:eastAsia="仿宋"/>
                <w:kern w:val="0"/>
                <w:sz w:val="24"/>
                <w:szCs w:val="24"/>
              </w:rPr>
              <w:t>E1信息化建设情况（2分）</w:t>
            </w:r>
          </w:p>
        </w:tc>
        <w:tc>
          <w:tcPr>
            <w:tcW w:w="3828" w:type="dxa"/>
            <w:shd w:val="clear" w:color="auto" w:fill="auto"/>
            <w:vAlign w:val="center"/>
          </w:tcPr>
          <w:p w14:paraId="24526865">
            <w:pPr>
              <w:widowControl/>
              <w:jc w:val="left"/>
              <w:rPr>
                <w:rFonts w:ascii="Times New Roman" w:hAnsi="Times New Roman"/>
                <w:kern w:val="0"/>
                <w:sz w:val="24"/>
                <w:szCs w:val="24"/>
              </w:rPr>
            </w:pPr>
            <w:r>
              <w:rPr>
                <w:rFonts w:ascii="Times New Roman" w:hAnsi="Times New Roman" w:eastAsia="仿宋"/>
                <w:sz w:val="24"/>
                <w:szCs w:val="24"/>
              </w:rPr>
              <w:t>信息系统优化升级</w:t>
            </w:r>
          </w:p>
        </w:tc>
        <w:tc>
          <w:tcPr>
            <w:tcW w:w="850" w:type="dxa"/>
            <w:shd w:val="clear" w:color="auto" w:fill="auto"/>
            <w:vAlign w:val="center"/>
          </w:tcPr>
          <w:p w14:paraId="17519888">
            <w:pPr>
              <w:widowControl/>
              <w:jc w:val="center"/>
              <w:rPr>
                <w:rFonts w:ascii="Times New Roman" w:hAnsi="Times New Roman"/>
                <w:kern w:val="0"/>
                <w:sz w:val="24"/>
                <w:szCs w:val="24"/>
              </w:rPr>
            </w:pPr>
            <w:r>
              <w:rPr>
                <w:rFonts w:ascii="Times New Roman" w:hAnsi="Times New Roman" w:eastAsia="仿宋"/>
                <w:kern w:val="0"/>
                <w:sz w:val="24"/>
                <w:szCs w:val="24"/>
              </w:rPr>
              <w:t>2</w:t>
            </w:r>
          </w:p>
        </w:tc>
        <w:tc>
          <w:tcPr>
            <w:tcW w:w="676" w:type="dxa"/>
            <w:vAlign w:val="center"/>
          </w:tcPr>
          <w:p w14:paraId="4A0CF861">
            <w:pPr>
              <w:widowControl/>
              <w:jc w:val="center"/>
              <w:rPr>
                <w:rFonts w:ascii="Times New Roman" w:hAnsi="Times New Roman"/>
                <w:kern w:val="0"/>
                <w:sz w:val="24"/>
                <w:szCs w:val="24"/>
              </w:rPr>
            </w:pPr>
            <w:r>
              <w:rPr>
                <w:rFonts w:hint="eastAsia" w:ascii="Times New Roman" w:hAnsi="Times New Roman" w:eastAsia="仿宋"/>
                <w:kern w:val="0"/>
                <w:sz w:val="24"/>
                <w:szCs w:val="24"/>
              </w:rPr>
              <w:t>2</w:t>
            </w:r>
          </w:p>
        </w:tc>
        <w:tc>
          <w:tcPr>
            <w:tcW w:w="3260" w:type="dxa"/>
            <w:shd w:val="clear" w:color="auto" w:fill="auto"/>
            <w:vAlign w:val="center"/>
          </w:tcPr>
          <w:p w14:paraId="1A0B6B2F">
            <w:pPr>
              <w:widowControl/>
              <w:jc w:val="left"/>
              <w:rPr>
                <w:rFonts w:ascii="Times New Roman" w:hAnsi="Times New Roman"/>
                <w:kern w:val="0"/>
                <w:sz w:val="24"/>
                <w:szCs w:val="24"/>
              </w:rPr>
            </w:pPr>
            <w:r>
              <w:rPr>
                <w:rFonts w:ascii="Times New Roman" w:hAnsi="Times New Roman" w:eastAsia="仿宋"/>
                <w:sz w:val="24"/>
                <w:szCs w:val="24"/>
              </w:rPr>
              <w:t>通过是否完成当年信息化建设要求进行考核</w:t>
            </w:r>
          </w:p>
        </w:tc>
      </w:tr>
      <w:tr w14:paraId="5A3F6A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77EC4BAF">
            <w:pPr>
              <w:widowControl/>
              <w:jc w:val="left"/>
              <w:rPr>
                <w:rFonts w:ascii="Times New Roman" w:hAnsi="Times New Roman"/>
                <w:kern w:val="0"/>
                <w:sz w:val="24"/>
                <w:szCs w:val="24"/>
              </w:rPr>
            </w:pPr>
          </w:p>
        </w:tc>
        <w:tc>
          <w:tcPr>
            <w:tcW w:w="2123" w:type="dxa"/>
            <w:shd w:val="clear" w:color="auto" w:fill="auto"/>
            <w:vAlign w:val="center"/>
          </w:tcPr>
          <w:p w14:paraId="475DEF66">
            <w:pPr>
              <w:widowControl/>
              <w:jc w:val="left"/>
              <w:rPr>
                <w:rFonts w:ascii="Times New Roman" w:hAnsi="Times New Roman"/>
                <w:kern w:val="0"/>
                <w:sz w:val="24"/>
                <w:szCs w:val="24"/>
              </w:rPr>
            </w:pPr>
            <w:r>
              <w:rPr>
                <w:rFonts w:ascii="Times New Roman" w:hAnsi="Times New Roman" w:eastAsia="仿宋"/>
                <w:kern w:val="0"/>
                <w:sz w:val="24"/>
                <w:szCs w:val="24"/>
              </w:rPr>
              <w:t>E2人力资源建设情况（2分）</w:t>
            </w:r>
          </w:p>
        </w:tc>
        <w:tc>
          <w:tcPr>
            <w:tcW w:w="3828" w:type="dxa"/>
            <w:shd w:val="clear" w:color="auto" w:fill="auto"/>
            <w:noWrap/>
            <w:vAlign w:val="center"/>
          </w:tcPr>
          <w:p w14:paraId="1EB8AF74">
            <w:pPr>
              <w:widowControl/>
              <w:jc w:val="left"/>
              <w:rPr>
                <w:rFonts w:ascii="Times New Roman" w:hAnsi="Times New Roman"/>
                <w:kern w:val="0"/>
                <w:sz w:val="24"/>
                <w:szCs w:val="24"/>
              </w:rPr>
            </w:pPr>
            <w:r>
              <w:rPr>
                <w:rFonts w:ascii="Times New Roman" w:hAnsi="Times New Roman" w:eastAsia="仿宋"/>
                <w:kern w:val="0"/>
                <w:sz w:val="24"/>
                <w:szCs w:val="24"/>
              </w:rPr>
              <w:t>单位人才培养计划、人才选拔运用、激励措施等</w:t>
            </w:r>
          </w:p>
        </w:tc>
        <w:tc>
          <w:tcPr>
            <w:tcW w:w="850" w:type="dxa"/>
            <w:shd w:val="clear" w:color="auto" w:fill="auto"/>
            <w:vAlign w:val="center"/>
          </w:tcPr>
          <w:p w14:paraId="06FA71FA">
            <w:pPr>
              <w:widowControl/>
              <w:jc w:val="center"/>
              <w:rPr>
                <w:rFonts w:ascii="Times New Roman" w:hAnsi="Times New Roman"/>
                <w:kern w:val="0"/>
                <w:sz w:val="24"/>
                <w:szCs w:val="24"/>
              </w:rPr>
            </w:pPr>
            <w:r>
              <w:rPr>
                <w:rFonts w:ascii="Times New Roman" w:hAnsi="Times New Roman" w:eastAsia="仿宋"/>
                <w:kern w:val="0"/>
                <w:sz w:val="24"/>
                <w:szCs w:val="24"/>
              </w:rPr>
              <w:t>2</w:t>
            </w:r>
          </w:p>
        </w:tc>
        <w:tc>
          <w:tcPr>
            <w:tcW w:w="676" w:type="dxa"/>
            <w:vAlign w:val="center"/>
          </w:tcPr>
          <w:p w14:paraId="563EF3AB">
            <w:pPr>
              <w:widowControl/>
              <w:jc w:val="center"/>
              <w:rPr>
                <w:rFonts w:ascii="Times New Roman" w:hAnsi="Times New Roman"/>
                <w:kern w:val="0"/>
                <w:sz w:val="24"/>
                <w:szCs w:val="24"/>
              </w:rPr>
            </w:pPr>
            <w:r>
              <w:rPr>
                <w:rFonts w:ascii="Times New Roman" w:hAnsi="Times New Roman"/>
                <w:kern w:val="0"/>
                <w:sz w:val="24"/>
                <w:szCs w:val="24"/>
              </w:rPr>
              <w:t>2</w:t>
            </w:r>
          </w:p>
        </w:tc>
        <w:tc>
          <w:tcPr>
            <w:tcW w:w="3260" w:type="dxa"/>
            <w:shd w:val="clear" w:color="auto" w:fill="auto"/>
            <w:noWrap/>
            <w:vAlign w:val="center"/>
          </w:tcPr>
          <w:p w14:paraId="67EA8914">
            <w:pPr>
              <w:widowControl/>
              <w:jc w:val="left"/>
              <w:rPr>
                <w:rFonts w:ascii="Times New Roman" w:hAnsi="Times New Roman"/>
                <w:kern w:val="0"/>
                <w:sz w:val="24"/>
                <w:szCs w:val="24"/>
              </w:rPr>
            </w:pPr>
            <w:r>
              <w:rPr>
                <w:rFonts w:ascii="Times New Roman" w:hAnsi="Times New Roman" w:eastAsia="仿宋"/>
                <w:sz w:val="24"/>
                <w:szCs w:val="24"/>
              </w:rPr>
              <w:t>通过完成人员培训、人员调整等举措实现人才培养目标</w:t>
            </w:r>
          </w:p>
        </w:tc>
      </w:tr>
      <w:tr w14:paraId="250C0A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03A080A5">
            <w:pPr>
              <w:widowControl/>
              <w:jc w:val="left"/>
              <w:rPr>
                <w:rFonts w:ascii="Times New Roman" w:hAnsi="Times New Roman"/>
                <w:kern w:val="0"/>
                <w:sz w:val="24"/>
                <w:szCs w:val="24"/>
              </w:rPr>
            </w:pPr>
          </w:p>
        </w:tc>
        <w:tc>
          <w:tcPr>
            <w:tcW w:w="2123" w:type="dxa"/>
            <w:shd w:val="clear" w:color="auto" w:fill="auto"/>
            <w:vAlign w:val="center"/>
          </w:tcPr>
          <w:p w14:paraId="522DF69F">
            <w:pPr>
              <w:widowControl/>
              <w:jc w:val="left"/>
              <w:rPr>
                <w:rFonts w:ascii="Times New Roman" w:hAnsi="Times New Roman"/>
                <w:kern w:val="0"/>
                <w:sz w:val="24"/>
                <w:szCs w:val="24"/>
              </w:rPr>
            </w:pPr>
            <w:r>
              <w:rPr>
                <w:rFonts w:ascii="Times New Roman" w:hAnsi="Times New Roman" w:eastAsia="仿宋"/>
                <w:kern w:val="0"/>
                <w:sz w:val="24"/>
                <w:szCs w:val="24"/>
              </w:rPr>
              <w:t>E3部门创新情况（1分）</w:t>
            </w:r>
          </w:p>
        </w:tc>
        <w:tc>
          <w:tcPr>
            <w:tcW w:w="3828" w:type="dxa"/>
            <w:shd w:val="clear" w:color="auto" w:fill="auto"/>
            <w:noWrap/>
            <w:vAlign w:val="center"/>
          </w:tcPr>
          <w:p w14:paraId="37030842">
            <w:pPr>
              <w:widowControl/>
              <w:jc w:val="left"/>
              <w:rPr>
                <w:rFonts w:ascii="Times New Roman" w:hAnsi="Times New Roman"/>
                <w:kern w:val="0"/>
                <w:sz w:val="24"/>
                <w:szCs w:val="24"/>
              </w:rPr>
            </w:pPr>
            <w:r>
              <w:rPr>
                <w:rFonts w:ascii="Times New Roman" w:hAnsi="Times New Roman" w:eastAsia="仿宋"/>
                <w:sz w:val="24"/>
                <w:szCs w:val="24"/>
              </w:rPr>
              <w:t>工作方式优化</w:t>
            </w:r>
          </w:p>
        </w:tc>
        <w:tc>
          <w:tcPr>
            <w:tcW w:w="850" w:type="dxa"/>
            <w:shd w:val="clear" w:color="auto" w:fill="auto"/>
            <w:noWrap/>
            <w:vAlign w:val="center"/>
          </w:tcPr>
          <w:p w14:paraId="77D2E92D">
            <w:pPr>
              <w:widowControl/>
              <w:jc w:val="center"/>
              <w:rPr>
                <w:rFonts w:ascii="Times New Roman" w:hAnsi="Times New Roman"/>
                <w:kern w:val="0"/>
                <w:sz w:val="24"/>
                <w:szCs w:val="24"/>
              </w:rPr>
            </w:pPr>
            <w:r>
              <w:rPr>
                <w:rFonts w:ascii="Times New Roman" w:hAnsi="Times New Roman" w:eastAsia="仿宋"/>
                <w:kern w:val="0"/>
                <w:sz w:val="24"/>
                <w:szCs w:val="24"/>
              </w:rPr>
              <w:t>1</w:t>
            </w:r>
          </w:p>
        </w:tc>
        <w:tc>
          <w:tcPr>
            <w:tcW w:w="676" w:type="dxa"/>
            <w:vAlign w:val="center"/>
          </w:tcPr>
          <w:p w14:paraId="51B2A518">
            <w:pPr>
              <w:widowControl/>
              <w:jc w:val="center"/>
              <w:rPr>
                <w:rFonts w:ascii="Times New Roman" w:hAnsi="Times New Roman"/>
                <w:kern w:val="0"/>
                <w:sz w:val="24"/>
                <w:szCs w:val="24"/>
              </w:rPr>
            </w:pPr>
            <w:r>
              <w:rPr>
                <w:rFonts w:ascii="Times New Roman" w:hAnsi="Times New Roman" w:eastAsia="仿宋"/>
                <w:kern w:val="0"/>
                <w:sz w:val="24"/>
                <w:szCs w:val="24"/>
              </w:rPr>
              <w:t>1</w:t>
            </w:r>
          </w:p>
        </w:tc>
        <w:tc>
          <w:tcPr>
            <w:tcW w:w="3260" w:type="dxa"/>
            <w:shd w:val="clear" w:color="auto" w:fill="auto"/>
            <w:noWrap/>
            <w:vAlign w:val="center"/>
          </w:tcPr>
          <w:p w14:paraId="4D3EC7AF">
            <w:pPr>
              <w:widowControl/>
              <w:jc w:val="left"/>
              <w:rPr>
                <w:rFonts w:ascii="Times New Roman" w:hAnsi="Times New Roman"/>
                <w:kern w:val="0"/>
                <w:sz w:val="24"/>
                <w:szCs w:val="24"/>
              </w:rPr>
            </w:pPr>
            <w:r>
              <w:rPr>
                <w:rFonts w:ascii="Times New Roman" w:hAnsi="Times New Roman" w:eastAsia="仿宋"/>
                <w:sz w:val="24"/>
                <w:szCs w:val="24"/>
              </w:rPr>
              <w:t>通过创新工作方式，优化监管模式达到部门创新目标。</w:t>
            </w:r>
          </w:p>
        </w:tc>
      </w:tr>
    </w:tbl>
    <w:p w14:paraId="22CCEE9F">
      <w:pPr>
        <w:rPr>
          <w:rFonts w:ascii="Times New Roman" w:hAnsi="Times New Roman"/>
          <w:sz w:val="24"/>
          <w:szCs w:val="24"/>
        </w:rPr>
      </w:pPr>
    </w:p>
    <w:p w14:paraId="6FBBEC00">
      <w:pPr>
        <w:adjustRightInd w:val="0"/>
        <w:snapToGrid w:val="0"/>
        <w:spacing w:line="300" w:lineRule="auto"/>
        <w:rPr>
          <w:rFonts w:ascii="Times New Roman" w:hAnsi="Times New Roman" w:eastAsia="方正仿宋_GBK"/>
          <w:sz w:val="32"/>
          <w:szCs w:val="32"/>
        </w:rPr>
      </w:pPr>
    </w:p>
    <w:sectPr>
      <w:footerReference r:id="rId9" w:type="default"/>
      <w:pgSz w:w="16838" w:h="11906" w:orient="landscape"/>
      <w:pgMar w:top="1588" w:right="2098" w:bottom="1588"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03" w:usb1="288F0000" w:usb2="00000006" w:usb3="00000000" w:csb0="00040001" w:csb1="00000000"/>
  </w:font>
  <w:font w:name="方正小标宋_GBK">
    <w:panose1 w:val="02000000000000000000"/>
    <w:charset w:val="86"/>
    <w:family w:val="script"/>
    <w:pitch w:val="default"/>
    <w:sig w:usb0="A00002BF" w:usb1="38CF7CFA" w:usb2="00082016" w:usb3="00000000" w:csb0="00040001" w:csb1="00000000"/>
  </w:font>
  <w:font w:name="仿宋">
    <w:panose1 w:val="02010609060101010101"/>
    <w:charset w:val="86"/>
    <w:family w:val="modern"/>
    <w:pitch w:val="default"/>
    <w:sig w:usb0="800002BF" w:usb1="38CF7CFA" w:usb2="00000016" w:usb3="00000000" w:csb0="00040001" w:csb1="00000000"/>
  </w:font>
  <w:font w:name="方正仿宋_GBK">
    <w:panose1 w:val="02000000000000000000"/>
    <w:charset w:val="86"/>
    <w:family w:val="script"/>
    <w:pitch w:val="default"/>
    <w:sig w:usb0="A00002BF" w:usb1="38CF7CFA" w:usb2="00082016" w:usb3="00000000" w:csb0="00040001" w:csb1="00000000"/>
  </w:font>
  <w:font w:name="方正楷体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8605030"/>
    </w:sdtPr>
    <w:sdtContent>
      <w:p w14:paraId="5DF4063C">
        <w:pPr>
          <w:pStyle w:val="4"/>
          <w:ind w:firstLine="360"/>
          <w:jc w:val="center"/>
        </w:pPr>
        <w:r>
          <w:rPr>
            <w:rFonts w:hint="eastAsia"/>
          </w:rPr>
          <w:t>—</w:t>
        </w: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2</w:t>
        </w:r>
        <w:r>
          <w:rPr>
            <w:sz w:val="28"/>
            <w:szCs w:val="28"/>
          </w:rPr>
          <w:fldChar w:fldCharType="end"/>
        </w:r>
        <w:r>
          <w:rPr>
            <w:rFonts w:hint="eastAsia"/>
          </w:rPr>
          <w:t>—</w:t>
        </w:r>
      </w:p>
    </w:sdtContent>
  </w:sdt>
  <w:p w14:paraId="71F6B741">
    <w:pPr>
      <w:pStyle w:val="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3B2401">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8E29D8">
    <w:pPr>
      <w:pStyle w:val="4"/>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91755C">
    <w:pPr>
      <w:pStyle w:val="4"/>
      <w:jc w:val="center"/>
    </w:pPr>
    <w:r>
      <w:rPr>
        <w:rFonts w:hint="eastAsia" w:ascii="宋体" w:hAnsi="宋体"/>
      </w:rPr>
      <w:t>－</w:t>
    </w:r>
    <w:r>
      <w:rPr>
        <w:rFonts w:ascii="Times New Roman" w:hAnsi="Times New Roman"/>
        <w:sz w:val="28"/>
      </w:rPr>
      <w:fldChar w:fldCharType="begin"/>
    </w:r>
    <w:r>
      <w:rPr>
        <w:rFonts w:ascii="Times New Roman" w:hAnsi="Times New Roman"/>
        <w:sz w:val="28"/>
      </w:rPr>
      <w:instrText xml:space="preserve">PAGE   \* MERGEFORMAT</w:instrText>
    </w:r>
    <w:r>
      <w:rPr>
        <w:rFonts w:ascii="Times New Roman" w:hAnsi="Times New Roman"/>
        <w:sz w:val="28"/>
      </w:rPr>
      <w:fldChar w:fldCharType="separate"/>
    </w:r>
    <w:r>
      <w:rPr>
        <w:rFonts w:ascii="Times New Roman" w:hAnsi="Times New Roman"/>
        <w:sz w:val="28"/>
        <w:lang w:val="zh-CN"/>
      </w:rPr>
      <w:t>12</w:t>
    </w:r>
    <w:r>
      <w:rPr>
        <w:rFonts w:ascii="Times New Roman" w:hAnsi="Times New Roman"/>
        <w:sz w:val="28"/>
      </w:rPr>
      <w:fldChar w:fldCharType="end"/>
    </w:r>
    <w:r>
      <w:rPr>
        <w:rFonts w:hint="eastAsia" w:ascii="宋体" w:hAnsi="宋体"/>
      </w:rPr>
      <w:t>－</w:t>
    </w:r>
  </w:p>
  <w:p w14:paraId="3327BEE8">
    <w:pPr>
      <w:pStyle w:val="4"/>
      <w:jc w:val="center"/>
      <w:rPr>
        <w:rFonts w:ascii="Times New Roman" w:hAnsi="Times New Roma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6498C4">
    <w:pPr>
      <w:ind w:firstLine="5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3557E6">
    <w:pPr>
      <w:pStyle w:val="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F7D9FF">
    <w:pPr>
      <w:pStyle w:val="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B29A101"/>
    <w:multiLevelType w:val="singleLevel"/>
    <w:tmpl w:val="3B29A101"/>
    <w:lvl w:ilvl="0" w:tentative="0">
      <w:start w:val="3"/>
      <w:numFmt w:val="chineseCounting"/>
      <w:suff w:val="nothing"/>
      <w:lvlText w:val="%1、"/>
      <w:lvlJc w:val="left"/>
      <w:rPr>
        <w:rFonts w:hint="eastAsia"/>
      </w:rPr>
    </w:lvl>
  </w:abstractNum>
  <w:abstractNum w:abstractNumId="1">
    <w:nsid w:val="56051F50"/>
    <w:multiLevelType w:val="singleLevel"/>
    <w:tmpl w:val="56051F50"/>
    <w:lvl w:ilvl="0" w:tentative="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HorizontalSpacing w:val="105"/>
  <w:drawingGridVerticalSpacing w:val="381"/>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lhMTU0ZDNjOGQ3MGViNGYzODFhYzhjZjU4OTg4N2MifQ=="/>
  </w:docVars>
  <w:rsids>
    <w:rsidRoot w:val="001D776D"/>
    <w:rsid w:val="00005CE9"/>
    <w:rsid w:val="00010FBF"/>
    <w:rsid w:val="00013218"/>
    <w:rsid w:val="00020FFA"/>
    <w:rsid w:val="000226AB"/>
    <w:rsid w:val="00022BC1"/>
    <w:rsid w:val="00023D6B"/>
    <w:rsid w:val="00027719"/>
    <w:rsid w:val="000404D1"/>
    <w:rsid w:val="0004225B"/>
    <w:rsid w:val="00043750"/>
    <w:rsid w:val="000511E9"/>
    <w:rsid w:val="0005553E"/>
    <w:rsid w:val="000557B4"/>
    <w:rsid w:val="000579E9"/>
    <w:rsid w:val="00060A10"/>
    <w:rsid w:val="00061E6A"/>
    <w:rsid w:val="00062175"/>
    <w:rsid w:val="00063740"/>
    <w:rsid w:val="0007388C"/>
    <w:rsid w:val="0007557D"/>
    <w:rsid w:val="000837FE"/>
    <w:rsid w:val="000862DC"/>
    <w:rsid w:val="000907F8"/>
    <w:rsid w:val="000A2218"/>
    <w:rsid w:val="000A27C3"/>
    <w:rsid w:val="000A3000"/>
    <w:rsid w:val="000A7007"/>
    <w:rsid w:val="000B0E3D"/>
    <w:rsid w:val="000B3A4E"/>
    <w:rsid w:val="000C0E6E"/>
    <w:rsid w:val="000C1FF9"/>
    <w:rsid w:val="000C3442"/>
    <w:rsid w:val="000C7484"/>
    <w:rsid w:val="000D0A28"/>
    <w:rsid w:val="000D1B87"/>
    <w:rsid w:val="000D42B2"/>
    <w:rsid w:val="000E4BB6"/>
    <w:rsid w:val="000E76B1"/>
    <w:rsid w:val="000F26D4"/>
    <w:rsid w:val="000F7AD3"/>
    <w:rsid w:val="00100480"/>
    <w:rsid w:val="00101190"/>
    <w:rsid w:val="001063C8"/>
    <w:rsid w:val="001109E2"/>
    <w:rsid w:val="00113BCF"/>
    <w:rsid w:val="00115E9D"/>
    <w:rsid w:val="001208E8"/>
    <w:rsid w:val="00124884"/>
    <w:rsid w:val="0013462E"/>
    <w:rsid w:val="001352F7"/>
    <w:rsid w:val="0013681E"/>
    <w:rsid w:val="001418C4"/>
    <w:rsid w:val="001421A7"/>
    <w:rsid w:val="00142778"/>
    <w:rsid w:val="00144D42"/>
    <w:rsid w:val="0015407D"/>
    <w:rsid w:val="00154ACA"/>
    <w:rsid w:val="00154ECF"/>
    <w:rsid w:val="00161ED9"/>
    <w:rsid w:val="00165766"/>
    <w:rsid w:val="00167C99"/>
    <w:rsid w:val="00170FBF"/>
    <w:rsid w:val="00173AE1"/>
    <w:rsid w:val="00174922"/>
    <w:rsid w:val="0017722E"/>
    <w:rsid w:val="00180884"/>
    <w:rsid w:val="001866B4"/>
    <w:rsid w:val="001900B9"/>
    <w:rsid w:val="00191703"/>
    <w:rsid w:val="00192BED"/>
    <w:rsid w:val="00193569"/>
    <w:rsid w:val="0019381F"/>
    <w:rsid w:val="001952CA"/>
    <w:rsid w:val="00196391"/>
    <w:rsid w:val="00196558"/>
    <w:rsid w:val="001A040A"/>
    <w:rsid w:val="001A153B"/>
    <w:rsid w:val="001A3187"/>
    <w:rsid w:val="001B135F"/>
    <w:rsid w:val="001B55AC"/>
    <w:rsid w:val="001B75C1"/>
    <w:rsid w:val="001C163C"/>
    <w:rsid w:val="001C357D"/>
    <w:rsid w:val="001C3855"/>
    <w:rsid w:val="001C4A47"/>
    <w:rsid w:val="001C7A2D"/>
    <w:rsid w:val="001D4EA2"/>
    <w:rsid w:val="001D5044"/>
    <w:rsid w:val="001D776D"/>
    <w:rsid w:val="001E1389"/>
    <w:rsid w:val="001E13F7"/>
    <w:rsid w:val="001E3196"/>
    <w:rsid w:val="001E54F0"/>
    <w:rsid w:val="001E5997"/>
    <w:rsid w:val="001F065F"/>
    <w:rsid w:val="001F0697"/>
    <w:rsid w:val="001F1EA1"/>
    <w:rsid w:val="001F4D0A"/>
    <w:rsid w:val="001F521B"/>
    <w:rsid w:val="001F6F4A"/>
    <w:rsid w:val="001F77DD"/>
    <w:rsid w:val="002015CF"/>
    <w:rsid w:val="002045F9"/>
    <w:rsid w:val="002070DD"/>
    <w:rsid w:val="00207208"/>
    <w:rsid w:val="0020769F"/>
    <w:rsid w:val="002242E2"/>
    <w:rsid w:val="00226021"/>
    <w:rsid w:val="00226834"/>
    <w:rsid w:val="00227DEC"/>
    <w:rsid w:val="00231984"/>
    <w:rsid w:val="00233859"/>
    <w:rsid w:val="002362FD"/>
    <w:rsid w:val="00245086"/>
    <w:rsid w:val="0025229E"/>
    <w:rsid w:val="002530DA"/>
    <w:rsid w:val="002564D6"/>
    <w:rsid w:val="002574ED"/>
    <w:rsid w:val="00261B05"/>
    <w:rsid w:val="00261BC8"/>
    <w:rsid w:val="002622B6"/>
    <w:rsid w:val="00265B28"/>
    <w:rsid w:val="0027313E"/>
    <w:rsid w:val="002752BC"/>
    <w:rsid w:val="00276149"/>
    <w:rsid w:val="00277A16"/>
    <w:rsid w:val="00280429"/>
    <w:rsid w:val="00284B48"/>
    <w:rsid w:val="0028776A"/>
    <w:rsid w:val="00294A7D"/>
    <w:rsid w:val="00294C78"/>
    <w:rsid w:val="00296402"/>
    <w:rsid w:val="002A3A9C"/>
    <w:rsid w:val="002A3F65"/>
    <w:rsid w:val="002A45FA"/>
    <w:rsid w:val="002A50A2"/>
    <w:rsid w:val="002A6AD9"/>
    <w:rsid w:val="002A6D7F"/>
    <w:rsid w:val="002B12B2"/>
    <w:rsid w:val="002B176B"/>
    <w:rsid w:val="002B2B3B"/>
    <w:rsid w:val="002B7383"/>
    <w:rsid w:val="002C051C"/>
    <w:rsid w:val="002C3B84"/>
    <w:rsid w:val="002C6883"/>
    <w:rsid w:val="002D09E0"/>
    <w:rsid w:val="002D12E7"/>
    <w:rsid w:val="002D1F27"/>
    <w:rsid w:val="002D2AD6"/>
    <w:rsid w:val="002D2E43"/>
    <w:rsid w:val="002D6745"/>
    <w:rsid w:val="002D7D36"/>
    <w:rsid w:val="002E1AC4"/>
    <w:rsid w:val="002E37F8"/>
    <w:rsid w:val="002E6760"/>
    <w:rsid w:val="002E7954"/>
    <w:rsid w:val="002F7DCC"/>
    <w:rsid w:val="00301F1B"/>
    <w:rsid w:val="00311B8E"/>
    <w:rsid w:val="003130EE"/>
    <w:rsid w:val="003134F3"/>
    <w:rsid w:val="003134F8"/>
    <w:rsid w:val="003137E8"/>
    <w:rsid w:val="00315B33"/>
    <w:rsid w:val="00316820"/>
    <w:rsid w:val="003231EC"/>
    <w:rsid w:val="00326DB9"/>
    <w:rsid w:val="00327D13"/>
    <w:rsid w:val="00333D86"/>
    <w:rsid w:val="00334622"/>
    <w:rsid w:val="00334744"/>
    <w:rsid w:val="00342616"/>
    <w:rsid w:val="0035099F"/>
    <w:rsid w:val="00352F19"/>
    <w:rsid w:val="00355A1F"/>
    <w:rsid w:val="00366577"/>
    <w:rsid w:val="003672EB"/>
    <w:rsid w:val="00373477"/>
    <w:rsid w:val="00374998"/>
    <w:rsid w:val="00397DB6"/>
    <w:rsid w:val="003A1274"/>
    <w:rsid w:val="003A5EC1"/>
    <w:rsid w:val="003B38EE"/>
    <w:rsid w:val="003B7505"/>
    <w:rsid w:val="003C018F"/>
    <w:rsid w:val="003C1644"/>
    <w:rsid w:val="003C4C0D"/>
    <w:rsid w:val="003C619F"/>
    <w:rsid w:val="003D0D1F"/>
    <w:rsid w:val="003D6083"/>
    <w:rsid w:val="003E5F0B"/>
    <w:rsid w:val="003E6A76"/>
    <w:rsid w:val="003F3444"/>
    <w:rsid w:val="003F5362"/>
    <w:rsid w:val="003F5465"/>
    <w:rsid w:val="00407AD8"/>
    <w:rsid w:val="00412227"/>
    <w:rsid w:val="00413022"/>
    <w:rsid w:val="004177F7"/>
    <w:rsid w:val="00417EF4"/>
    <w:rsid w:val="00420451"/>
    <w:rsid w:val="00426FF5"/>
    <w:rsid w:val="004270DB"/>
    <w:rsid w:val="00432A3E"/>
    <w:rsid w:val="00434026"/>
    <w:rsid w:val="00434875"/>
    <w:rsid w:val="00436D9D"/>
    <w:rsid w:val="00442A8B"/>
    <w:rsid w:val="0044335E"/>
    <w:rsid w:val="00445D95"/>
    <w:rsid w:val="004477DE"/>
    <w:rsid w:val="004537E2"/>
    <w:rsid w:val="00453A3D"/>
    <w:rsid w:val="00460E25"/>
    <w:rsid w:val="0046146A"/>
    <w:rsid w:val="00463753"/>
    <w:rsid w:val="004730C5"/>
    <w:rsid w:val="00475A6F"/>
    <w:rsid w:val="00484DC1"/>
    <w:rsid w:val="004863B1"/>
    <w:rsid w:val="004932F6"/>
    <w:rsid w:val="00495042"/>
    <w:rsid w:val="004A080B"/>
    <w:rsid w:val="004B3BB0"/>
    <w:rsid w:val="004B3EC0"/>
    <w:rsid w:val="004B549E"/>
    <w:rsid w:val="004C3BA3"/>
    <w:rsid w:val="004C5CED"/>
    <w:rsid w:val="004C78E8"/>
    <w:rsid w:val="004D0954"/>
    <w:rsid w:val="004D2013"/>
    <w:rsid w:val="004D30FB"/>
    <w:rsid w:val="004D3E9A"/>
    <w:rsid w:val="004D524D"/>
    <w:rsid w:val="004D657F"/>
    <w:rsid w:val="004D7CCF"/>
    <w:rsid w:val="004E1F64"/>
    <w:rsid w:val="004E4948"/>
    <w:rsid w:val="004E4AFA"/>
    <w:rsid w:val="004E7FB7"/>
    <w:rsid w:val="004F0290"/>
    <w:rsid w:val="004F4691"/>
    <w:rsid w:val="004F6EC6"/>
    <w:rsid w:val="004F7595"/>
    <w:rsid w:val="005045EC"/>
    <w:rsid w:val="005067C9"/>
    <w:rsid w:val="00507E2C"/>
    <w:rsid w:val="005164B9"/>
    <w:rsid w:val="00516AF3"/>
    <w:rsid w:val="00517BD9"/>
    <w:rsid w:val="00523C2F"/>
    <w:rsid w:val="00524D6F"/>
    <w:rsid w:val="005262F2"/>
    <w:rsid w:val="00527787"/>
    <w:rsid w:val="0053472E"/>
    <w:rsid w:val="0053538D"/>
    <w:rsid w:val="0053762D"/>
    <w:rsid w:val="00540FB6"/>
    <w:rsid w:val="00541802"/>
    <w:rsid w:val="005520C6"/>
    <w:rsid w:val="005563EF"/>
    <w:rsid w:val="0056089B"/>
    <w:rsid w:val="005624A3"/>
    <w:rsid w:val="00563DAF"/>
    <w:rsid w:val="00572E6E"/>
    <w:rsid w:val="005731C0"/>
    <w:rsid w:val="00573AE9"/>
    <w:rsid w:val="00574F00"/>
    <w:rsid w:val="00582A28"/>
    <w:rsid w:val="00584648"/>
    <w:rsid w:val="00585851"/>
    <w:rsid w:val="005874D7"/>
    <w:rsid w:val="00591215"/>
    <w:rsid w:val="00592C67"/>
    <w:rsid w:val="005A0299"/>
    <w:rsid w:val="005A1613"/>
    <w:rsid w:val="005A34D6"/>
    <w:rsid w:val="005A69C7"/>
    <w:rsid w:val="005A75F1"/>
    <w:rsid w:val="005B17EE"/>
    <w:rsid w:val="005B2694"/>
    <w:rsid w:val="005B687F"/>
    <w:rsid w:val="005C05C5"/>
    <w:rsid w:val="005C3938"/>
    <w:rsid w:val="005C5108"/>
    <w:rsid w:val="005C513E"/>
    <w:rsid w:val="005C64E2"/>
    <w:rsid w:val="005C7D03"/>
    <w:rsid w:val="005D415A"/>
    <w:rsid w:val="005D5008"/>
    <w:rsid w:val="005E11DC"/>
    <w:rsid w:val="005E2C2A"/>
    <w:rsid w:val="005E6747"/>
    <w:rsid w:val="005F40CF"/>
    <w:rsid w:val="005F4F49"/>
    <w:rsid w:val="005F6019"/>
    <w:rsid w:val="006022C1"/>
    <w:rsid w:val="00602D12"/>
    <w:rsid w:val="00605097"/>
    <w:rsid w:val="00605CBA"/>
    <w:rsid w:val="00610AC4"/>
    <w:rsid w:val="00613449"/>
    <w:rsid w:val="00613607"/>
    <w:rsid w:val="00614BCA"/>
    <w:rsid w:val="00616B39"/>
    <w:rsid w:val="00620C6D"/>
    <w:rsid w:val="00620F89"/>
    <w:rsid w:val="00626BC4"/>
    <w:rsid w:val="00633498"/>
    <w:rsid w:val="00634D8E"/>
    <w:rsid w:val="00635D6D"/>
    <w:rsid w:val="00647696"/>
    <w:rsid w:val="0065245F"/>
    <w:rsid w:val="00656B96"/>
    <w:rsid w:val="006570F8"/>
    <w:rsid w:val="00660ED0"/>
    <w:rsid w:val="006612AB"/>
    <w:rsid w:val="00675DBE"/>
    <w:rsid w:val="00675E89"/>
    <w:rsid w:val="0068292C"/>
    <w:rsid w:val="0068696E"/>
    <w:rsid w:val="00687298"/>
    <w:rsid w:val="00690248"/>
    <w:rsid w:val="00690382"/>
    <w:rsid w:val="00690FEB"/>
    <w:rsid w:val="00692B0D"/>
    <w:rsid w:val="0069576E"/>
    <w:rsid w:val="0069767C"/>
    <w:rsid w:val="006A0107"/>
    <w:rsid w:val="006A1DDF"/>
    <w:rsid w:val="006A24AF"/>
    <w:rsid w:val="006A440F"/>
    <w:rsid w:val="006A785A"/>
    <w:rsid w:val="006B15B5"/>
    <w:rsid w:val="006B2CC8"/>
    <w:rsid w:val="006C5E36"/>
    <w:rsid w:val="006C7B83"/>
    <w:rsid w:val="006E05D2"/>
    <w:rsid w:val="006E21EA"/>
    <w:rsid w:val="006E547A"/>
    <w:rsid w:val="006F142B"/>
    <w:rsid w:val="006F2145"/>
    <w:rsid w:val="006F3556"/>
    <w:rsid w:val="006F39B0"/>
    <w:rsid w:val="006F7C38"/>
    <w:rsid w:val="00701545"/>
    <w:rsid w:val="00707F9D"/>
    <w:rsid w:val="00712F1D"/>
    <w:rsid w:val="00713761"/>
    <w:rsid w:val="00721A0B"/>
    <w:rsid w:val="00722FEA"/>
    <w:rsid w:val="00732651"/>
    <w:rsid w:val="007328F8"/>
    <w:rsid w:val="007340D8"/>
    <w:rsid w:val="00737F19"/>
    <w:rsid w:val="0074040A"/>
    <w:rsid w:val="00744F14"/>
    <w:rsid w:val="00745DED"/>
    <w:rsid w:val="00746366"/>
    <w:rsid w:val="00751684"/>
    <w:rsid w:val="007571C9"/>
    <w:rsid w:val="0075788D"/>
    <w:rsid w:val="0076673A"/>
    <w:rsid w:val="00766D98"/>
    <w:rsid w:val="00767068"/>
    <w:rsid w:val="00771386"/>
    <w:rsid w:val="007730B0"/>
    <w:rsid w:val="00773E99"/>
    <w:rsid w:val="00774BCD"/>
    <w:rsid w:val="00775E4C"/>
    <w:rsid w:val="0077697D"/>
    <w:rsid w:val="00787CC4"/>
    <w:rsid w:val="007913FB"/>
    <w:rsid w:val="00794F9C"/>
    <w:rsid w:val="007A3749"/>
    <w:rsid w:val="007A4208"/>
    <w:rsid w:val="007B5CB8"/>
    <w:rsid w:val="007B6C24"/>
    <w:rsid w:val="007C05D0"/>
    <w:rsid w:val="007C3CC5"/>
    <w:rsid w:val="007C4045"/>
    <w:rsid w:val="007D4450"/>
    <w:rsid w:val="007D65DC"/>
    <w:rsid w:val="007E0790"/>
    <w:rsid w:val="007E0C4C"/>
    <w:rsid w:val="007E234D"/>
    <w:rsid w:val="007E547B"/>
    <w:rsid w:val="007E5DB2"/>
    <w:rsid w:val="007F0FAB"/>
    <w:rsid w:val="007F52DE"/>
    <w:rsid w:val="0080058E"/>
    <w:rsid w:val="00800A4B"/>
    <w:rsid w:val="00800D80"/>
    <w:rsid w:val="00801545"/>
    <w:rsid w:val="00806F23"/>
    <w:rsid w:val="008131C6"/>
    <w:rsid w:val="00815D94"/>
    <w:rsid w:val="00817028"/>
    <w:rsid w:val="008220AD"/>
    <w:rsid w:val="00822A3C"/>
    <w:rsid w:val="00824AA8"/>
    <w:rsid w:val="0082727E"/>
    <w:rsid w:val="0082792F"/>
    <w:rsid w:val="008319B7"/>
    <w:rsid w:val="008409E9"/>
    <w:rsid w:val="00841922"/>
    <w:rsid w:val="008516EE"/>
    <w:rsid w:val="00853CFC"/>
    <w:rsid w:val="0085493B"/>
    <w:rsid w:val="008556A8"/>
    <w:rsid w:val="00857028"/>
    <w:rsid w:val="008619B4"/>
    <w:rsid w:val="008635BA"/>
    <w:rsid w:val="00866477"/>
    <w:rsid w:val="0086657E"/>
    <w:rsid w:val="00866BF7"/>
    <w:rsid w:val="00870D31"/>
    <w:rsid w:val="0087239E"/>
    <w:rsid w:val="00882175"/>
    <w:rsid w:val="008829BE"/>
    <w:rsid w:val="0088318B"/>
    <w:rsid w:val="008935A4"/>
    <w:rsid w:val="008961FE"/>
    <w:rsid w:val="008A16F1"/>
    <w:rsid w:val="008A58A8"/>
    <w:rsid w:val="008B029E"/>
    <w:rsid w:val="008B258A"/>
    <w:rsid w:val="008B324F"/>
    <w:rsid w:val="008B5832"/>
    <w:rsid w:val="008B6588"/>
    <w:rsid w:val="008B6E00"/>
    <w:rsid w:val="008B6F97"/>
    <w:rsid w:val="008B7095"/>
    <w:rsid w:val="008C5052"/>
    <w:rsid w:val="008D1B74"/>
    <w:rsid w:val="008D73B9"/>
    <w:rsid w:val="008E0F75"/>
    <w:rsid w:val="008E1681"/>
    <w:rsid w:val="008E273A"/>
    <w:rsid w:val="008E4C27"/>
    <w:rsid w:val="008E4CBC"/>
    <w:rsid w:val="008E64D9"/>
    <w:rsid w:val="008F4C5D"/>
    <w:rsid w:val="008F522E"/>
    <w:rsid w:val="008F6D89"/>
    <w:rsid w:val="009008ED"/>
    <w:rsid w:val="00900B16"/>
    <w:rsid w:val="00904091"/>
    <w:rsid w:val="009051B2"/>
    <w:rsid w:val="00906750"/>
    <w:rsid w:val="009075CB"/>
    <w:rsid w:val="009112A3"/>
    <w:rsid w:val="00912D24"/>
    <w:rsid w:val="0091491C"/>
    <w:rsid w:val="0091716E"/>
    <w:rsid w:val="0092450A"/>
    <w:rsid w:val="0093029E"/>
    <w:rsid w:val="009317D5"/>
    <w:rsid w:val="00932943"/>
    <w:rsid w:val="00933C42"/>
    <w:rsid w:val="00935255"/>
    <w:rsid w:val="009417B8"/>
    <w:rsid w:val="00952C01"/>
    <w:rsid w:val="00953781"/>
    <w:rsid w:val="00955A87"/>
    <w:rsid w:val="00960E72"/>
    <w:rsid w:val="00961918"/>
    <w:rsid w:val="009655B8"/>
    <w:rsid w:val="00965F51"/>
    <w:rsid w:val="00973AE2"/>
    <w:rsid w:val="00975A0A"/>
    <w:rsid w:val="00982918"/>
    <w:rsid w:val="00982B34"/>
    <w:rsid w:val="00983EB7"/>
    <w:rsid w:val="009950ED"/>
    <w:rsid w:val="009A2617"/>
    <w:rsid w:val="009A55B9"/>
    <w:rsid w:val="009A690B"/>
    <w:rsid w:val="009B22CC"/>
    <w:rsid w:val="009B4B00"/>
    <w:rsid w:val="009B4DE7"/>
    <w:rsid w:val="009C7DDA"/>
    <w:rsid w:val="009D25FB"/>
    <w:rsid w:val="009D45CA"/>
    <w:rsid w:val="009E3115"/>
    <w:rsid w:val="009E6956"/>
    <w:rsid w:val="009F2BC8"/>
    <w:rsid w:val="009F30F1"/>
    <w:rsid w:val="009F621B"/>
    <w:rsid w:val="00A007F8"/>
    <w:rsid w:val="00A037EA"/>
    <w:rsid w:val="00A10993"/>
    <w:rsid w:val="00A25735"/>
    <w:rsid w:val="00A25E17"/>
    <w:rsid w:val="00A34A1A"/>
    <w:rsid w:val="00A34DE6"/>
    <w:rsid w:val="00A44A1D"/>
    <w:rsid w:val="00A47E8C"/>
    <w:rsid w:val="00A55A0F"/>
    <w:rsid w:val="00A564C0"/>
    <w:rsid w:val="00A62692"/>
    <w:rsid w:val="00A67732"/>
    <w:rsid w:val="00A72374"/>
    <w:rsid w:val="00A72879"/>
    <w:rsid w:val="00A76DB6"/>
    <w:rsid w:val="00A76EF0"/>
    <w:rsid w:val="00A776A9"/>
    <w:rsid w:val="00A7773D"/>
    <w:rsid w:val="00A822B0"/>
    <w:rsid w:val="00A90B48"/>
    <w:rsid w:val="00A9690B"/>
    <w:rsid w:val="00AA18FA"/>
    <w:rsid w:val="00AA1EB3"/>
    <w:rsid w:val="00AA38E9"/>
    <w:rsid w:val="00AA4C2E"/>
    <w:rsid w:val="00AB143D"/>
    <w:rsid w:val="00AB2EF5"/>
    <w:rsid w:val="00AB333B"/>
    <w:rsid w:val="00AB6A27"/>
    <w:rsid w:val="00AD2CDE"/>
    <w:rsid w:val="00AD2E88"/>
    <w:rsid w:val="00AD31C7"/>
    <w:rsid w:val="00AD61DE"/>
    <w:rsid w:val="00AE044B"/>
    <w:rsid w:val="00AE71E5"/>
    <w:rsid w:val="00AF044C"/>
    <w:rsid w:val="00AF1E74"/>
    <w:rsid w:val="00AF207E"/>
    <w:rsid w:val="00AF2E74"/>
    <w:rsid w:val="00AF3F5C"/>
    <w:rsid w:val="00AF5661"/>
    <w:rsid w:val="00B016A7"/>
    <w:rsid w:val="00B01E09"/>
    <w:rsid w:val="00B02487"/>
    <w:rsid w:val="00B053AE"/>
    <w:rsid w:val="00B07BA8"/>
    <w:rsid w:val="00B07DA1"/>
    <w:rsid w:val="00B115BF"/>
    <w:rsid w:val="00B172C9"/>
    <w:rsid w:val="00B214B1"/>
    <w:rsid w:val="00B22D41"/>
    <w:rsid w:val="00B247D2"/>
    <w:rsid w:val="00B252F5"/>
    <w:rsid w:val="00B33010"/>
    <w:rsid w:val="00B33BD4"/>
    <w:rsid w:val="00B366B4"/>
    <w:rsid w:val="00B44A76"/>
    <w:rsid w:val="00B4772E"/>
    <w:rsid w:val="00B50342"/>
    <w:rsid w:val="00B534AF"/>
    <w:rsid w:val="00B54572"/>
    <w:rsid w:val="00B5781A"/>
    <w:rsid w:val="00B57CA7"/>
    <w:rsid w:val="00B65F13"/>
    <w:rsid w:val="00B71068"/>
    <w:rsid w:val="00B757EB"/>
    <w:rsid w:val="00B80D77"/>
    <w:rsid w:val="00B81036"/>
    <w:rsid w:val="00B833EA"/>
    <w:rsid w:val="00B8552F"/>
    <w:rsid w:val="00B85FBD"/>
    <w:rsid w:val="00B91614"/>
    <w:rsid w:val="00B91996"/>
    <w:rsid w:val="00B92EFE"/>
    <w:rsid w:val="00B94797"/>
    <w:rsid w:val="00B950BB"/>
    <w:rsid w:val="00B96FE2"/>
    <w:rsid w:val="00B972B4"/>
    <w:rsid w:val="00BA2951"/>
    <w:rsid w:val="00BA476D"/>
    <w:rsid w:val="00BB2C8A"/>
    <w:rsid w:val="00BB68D3"/>
    <w:rsid w:val="00BC1A0A"/>
    <w:rsid w:val="00BC45FC"/>
    <w:rsid w:val="00BC5306"/>
    <w:rsid w:val="00BC7829"/>
    <w:rsid w:val="00BD5791"/>
    <w:rsid w:val="00BE118C"/>
    <w:rsid w:val="00BF14A1"/>
    <w:rsid w:val="00BF6FBF"/>
    <w:rsid w:val="00BF73E9"/>
    <w:rsid w:val="00C01092"/>
    <w:rsid w:val="00C05944"/>
    <w:rsid w:val="00C060D4"/>
    <w:rsid w:val="00C103AB"/>
    <w:rsid w:val="00C11DE3"/>
    <w:rsid w:val="00C1334C"/>
    <w:rsid w:val="00C24749"/>
    <w:rsid w:val="00C2603E"/>
    <w:rsid w:val="00C30E96"/>
    <w:rsid w:val="00C316E4"/>
    <w:rsid w:val="00C368F2"/>
    <w:rsid w:val="00C44ED4"/>
    <w:rsid w:val="00C50072"/>
    <w:rsid w:val="00C513C8"/>
    <w:rsid w:val="00C51D1E"/>
    <w:rsid w:val="00C579A6"/>
    <w:rsid w:val="00C608A5"/>
    <w:rsid w:val="00C61930"/>
    <w:rsid w:val="00C62D60"/>
    <w:rsid w:val="00C64520"/>
    <w:rsid w:val="00C73041"/>
    <w:rsid w:val="00C752F5"/>
    <w:rsid w:val="00C77755"/>
    <w:rsid w:val="00C77B42"/>
    <w:rsid w:val="00C828C4"/>
    <w:rsid w:val="00C84E55"/>
    <w:rsid w:val="00C8568F"/>
    <w:rsid w:val="00C8659F"/>
    <w:rsid w:val="00C8789E"/>
    <w:rsid w:val="00C91ABE"/>
    <w:rsid w:val="00C92045"/>
    <w:rsid w:val="00CA4F59"/>
    <w:rsid w:val="00CA5532"/>
    <w:rsid w:val="00CA6C9A"/>
    <w:rsid w:val="00CA6D85"/>
    <w:rsid w:val="00CB2624"/>
    <w:rsid w:val="00CB2A6A"/>
    <w:rsid w:val="00CB5314"/>
    <w:rsid w:val="00CB7061"/>
    <w:rsid w:val="00CC1763"/>
    <w:rsid w:val="00CC281B"/>
    <w:rsid w:val="00CC33AD"/>
    <w:rsid w:val="00CC5D6F"/>
    <w:rsid w:val="00CC634F"/>
    <w:rsid w:val="00CD022A"/>
    <w:rsid w:val="00CD51A2"/>
    <w:rsid w:val="00CD54E1"/>
    <w:rsid w:val="00CD75CE"/>
    <w:rsid w:val="00CE0817"/>
    <w:rsid w:val="00CE358F"/>
    <w:rsid w:val="00CE4DD8"/>
    <w:rsid w:val="00CF0874"/>
    <w:rsid w:val="00CF0CC0"/>
    <w:rsid w:val="00CF11DE"/>
    <w:rsid w:val="00CF1E42"/>
    <w:rsid w:val="00CF5B30"/>
    <w:rsid w:val="00CF5C3B"/>
    <w:rsid w:val="00D02E82"/>
    <w:rsid w:val="00D035D8"/>
    <w:rsid w:val="00D051C0"/>
    <w:rsid w:val="00D05ADF"/>
    <w:rsid w:val="00D07DE9"/>
    <w:rsid w:val="00D13AFE"/>
    <w:rsid w:val="00D232BF"/>
    <w:rsid w:val="00D237A2"/>
    <w:rsid w:val="00D238FC"/>
    <w:rsid w:val="00D26D0C"/>
    <w:rsid w:val="00D27D6A"/>
    <w:rsid w:val="00D30257"/>
    <w:rsid w:val="00D32009"/>
    <w:rsid w:val="00D322CC"/>
    <w:rsid w:val="00D33C50"/>
    <w:rsid w:val="00D3552F"/>
    <w:rsid w:val="00D355A8"/>
    <w:rsid w:val="00D37785"/>
    <w:rsid w:val="00D41480"/>
    <w:rsid w:val="00D438BB"/>
    <w:rsid w:val="00D46FB3"/>
    <w:rsid w:val="00D4716D"/>
    <w:rsid w:val="00D4786A"/>
    <w:rsid w:val="00D53601"/>
    <w:rsid w:val="00D540C0"/>
    <w:rsid w:val="00D565DB"/>
    <w:rsid w:val="00D64287"/>
    <w:rsid w:val="00D645CC"/>
    <w:rsid w:val="00D65CB8"/>
    <w:rsid w:val="00D71F39"/>
    <w:rsid w:val="00D72BDE"/>
    <w:rsid w:val="00D73A00"/>
    <w:rsid w:val="00D74B63"/>
    <w:rsid w:val="00D81593"/>
    <w:rsid w:val="00D934B2"/>
    <w:rsid w:val="00D943A7"/>
    <w:rsid w:val="00D97AAA"/>
    <w:rsid w:val="00DA13D2"/>
    <w:rsid w:val="00DA45B9"/>
    <w:rsid w:val="00DB0FBA"/>
    <w:rsid w:val="00DB3580"/>
    <w:rsid w:val="00DB4217"/>
    <w:rsid w:val="00DB5D09"/>
    <w:rsid w:val="00DB72D7"/>
    <w:rsid w:val="00DC21DE"/>
    <w:rsid w:val="00DC28AC"/>
    <w:rsid w:val="00DE07FF"/>
    <w:rsid w:val="00DE7E48"/>
    <w:rsid w:val="00DF3908"/>
    <w:rsid w:val="00DF3971"/>
    <w:rsid w:val="00E002D7"/>
    <w:rsid w:val="00E10B04"/>
    <w:rsid w:val="00E11473"/>
    <w:rsid w:val="00E1571B"/>
    <w:rsid w:val="00E16998"/>
    <w:rsid w:val="00E204E2"/>
    <w:rsid w:val="00E23C54"/>
    <w:rsid w:val="00E309D3"/>
    <w:rsid w:val="00E32D33"/>
    <w:rsid w:val="00E32D7C"/>
    <w:rsid w:val="00E41758"/>
    <w:rsid w:val="00E428F7"/>
    <w:rsid w:val="00E432D8"/>
    <w:rsid w:val="00E528E6"/>
    <w:rsid w:val="00E53842"/>
    <w:rsid w:val="00E55419"/>
    <w:rsid w:val="00E614C8"/>
    <w:rsid w:val="00E643DC"/>
    <w:rsid w:val="00E64873"/>
    <w:rsid w:val="00E66DEA"/>
    <w:rsid w:val="00E73937"/>
    <w:rsid w:val="00E75EBA"/>
    <w:rsid w:val="00E82C9E"/>
    <w:rsid w:val="00E82EE9"/>
    <w:rsid w:val="00E8682D"/>
    <w:rsid w:val="00E87DAB"/>
    <w:rsid w:val="00E92A21"/>
    <w:rsid w:val="00E944B4"/>
    <w:rsid w:val="00E94E34"/>
    <w:rsid w:val="00E95E06"/>
    <w:rsid w:val="00EA0B7A"/>
    <w:rsid w:val="00EA14C8"/>
    <w:rsid w:val="00EA534E"/>
    <w:rsid w:val="00EA5B2F"/>
    <w:rsid w:val="00EA5BD7"/>
    <w:rsid w:val="00EA60C0"/>
    <w:rsid w:val="00EC4B43"/>
    <w:rsid w:val="00EC5B7B"/>
    <w:rsid w:val="00ED6317"/>
    <w:rsid w:val="00EE0727"/>
    <w:rsid w:val="00EE0A3E"/>
    <w:rsid w:val="00EE273C"/>
    <w:rsid w:val="00EF15A9"/>
    <w:rsid w:val="00EF184D"/>
    <w:rsid w:val="00EF6748"/>
    <w:rsid w:val="00EF6CB9"/>
    <w:rsid w:val="00F0266E"/>
    <w:rsid w:val="00F148D0"/>
    <w:rsid w:val="00F17457"/>
    <w:rsid w:val="00F212EE"/>
    <w:rsid w:val="00F23AC8"/>
    <w:rsid w:val="00F24715"/>
    <w:rsid w:val="00F34E27"/>
    <w:rsid w:val="00F41877"/>
    <w:rsid w:val="00F42DFD"/>
    <w:rsid w:val="00F44460"/>
    <w:rsid w:val="00F45515"/>
    <w:rsid w:val="00F519D5"/>
    <w:rsid w:val="00F520EA"/>
    <w:rsid w:val="00F54CDF"/>
    <w:rsid w:val="00F60962"/>
    <w:rsid w:val="00F61A89"/>
    <w:rsid w:val="00F61ABF"/>
    <w:rsid w:val="00F65098"/>
    <w:rsid w:val="00F67C00"/>
    <w:rsid w:val="00F712AD"/>
    <w:rsid w:val="00F764F1"/>
    <w:rsid w:val="00F771D4"/>
    <w:rsid w:val="00F8597E"/>
    <w:rsid w:val="00F9473F"/>
    <w:rsid w:val="00F950B5"/>
    <w:rsid w:val="00F96442"/>
    <w:rsid w:val="00FA01FE"/>
    <w:rsid w:val="00FA15B0"/>
    <w:rsid w:val="00FA1698"/>
    <w:rsid w:val="00FA2586"/>
    <w:rsid w:val="00FA504B"/>
    <w:rsid w:val="00FA51C4"/>
    <w:rsid w:val="00FA54FA"/>
    <w:rsid w:val="00FB0348"/>
    <w:rsid w:val="00FB059E"/>
    <w:rsid w:val="00FB0D10"/>
    <w:rsid w:val="00FB6050"/>
    <w:rsid w:val="00FC052A"/>
    <w:rsid w:val="00FC3817"/>
    <w:rsid w:val="00FC61DA"/>
    <w:rsid w:val="00FD1BB3"/>
    <w:rsid w:val="00FD286A"/>
    <w:rsid w:val="00FD596D"/>
    <w:rsid w:val="00FD5BE1"/>
    <w:rsid w:val="00FD6381"/>
    <w:rsid w:val="00FE1345"/>
    <w:rsid w:val="00FE274D"/>
    <w:rsid w:val="00FE39F4"/>
    <w:rsid w:val="00FF23A7"/>
    <w:rsid w:val="00FF24DB"/>
    <w:rsid w:val="00FF4D4F"/>
    <w:rsid w:val="01430301"/>
    <w:rsid w:val="028228E9"/>
    <w:rsid w:val="02C1358B"/>
    <w:rsid w:val="02ED16B3"/>
    <w:rsid w:val="03124751"/>
    <w:rsid w:val="03DF1EFE"/>
    <w:rsid w:val="03E017D2"/>
    <w:rsid w:val="043539A7"/>
    <w:rsid w:val="04826D2E"/>
    <w:rsid w:val="04EF43C3"/>
    <w:rsid w:val="05377B18"/>
    <w:rsid w:val="05945F14"/>
    <w:rsid w:val="05E02897"/>
    <w:rsid w:val="05FB5A9A"/>
    <w:rsid w:val="061B11E8"/>
    <w:rsid w:val="062E0C23"/>
    <w:rsid w:val="064615C3"/>
    <w:rsid w:val="06A07511"/>
    <w:rsid w:val="076A5F83"/>
    <w:rsid w:val="07853B29"/>
    <w:rsid w:val="07997F98"/>
    <w:rsid w:val="087D7F38"/>
    <w:rsid w:val="08BA2366"/>
    <w:rsid w:val="098F7F23"/>
    <w:rsid w:val="09D516AE"/>
    <w:rsid w:val="0ACC0D02"/>
    <w:rsid w:val="0B042215"/>
    <w:rsid w:val="0B41349E"/>
    <w:rsid w:val="0B911428"/>
    <w:rsid w:val="0C246832"/>
    <w:rsid w:val="0C913FB2"/>
    <w:rsid w:val="0D0C260A"/>
    <w:rsid w:val="0D674D12"/>
    <w:rsid w:val="0DE519E9"/>
    <w:rsid w:val="0DED1793"/>
    <w:rsid w:val="0E0B235D"/>
    <w:rsid w:val="0E2624D8"/>
    <w:rsid w:val="0E4A08BC"/>
    <w:rsid w:val="0E8611C8"/>
    <w:rsid w:val="0FA1450C"/>
    <w:rsid w:val="0FA933C0"/>
    <w:rsid w:val="10264A11"/>
    <w:rsid w:val="103E6D30"/>
    <w:rsid w:val="10563548"/>
    <w:rsid w:val="107A6FB2"/>
    <w:rsid w:val="10D33652"/>
    <w:rsid w:val="10D73F5D"/>
    <w:rsid w:val="110805BA"/>
    <w:rsid w:val="115B39B8"/>
    <w:rsid w:val="1191235E"/>
    <w:rsid w:val="11D1400C"/>
    <w:rsid w:val="133D09EF"/>
    <w:rsid w:val="137A57A0"/>
    <w:rsid w:val="14634486"/>
    <w:rsid w:val="14680FAC"/>
    <w:rsid w:val="150A256E"/>
    <w:rsid w:val="15280A08"/>
    <w:rsid w:val="15325C06"/>
    <w:rsid w:val="15694E32"/>
    <w:rsid w:val="158858A3"/>
    <w:rsid w:val="1665769A"/>
    <w:rsid w:val="16C719BD"/>
    <w:rsid w:val="16CB00C0"/>
    <w:rsid w:val="17721F5F"/>
    <w:rsid w:val="185F6D12"/>
    <w:rsid w:val="19037FE5"/>
    <w:rsid w:val="19186A85"/>
    <w:rsid w:val="195E77A7"/>
    <w:rsid w:val="19E219A9"/>
    <w:rsid w:val="19F81081"/>
    <w:rsid w:val="1A100AAC"/>
    <w:rsid w:val="1A166DB0"/>
    <w:rsid w:val="1A450189"/>
    <w:rsid w:val="1B1E547A"/>
    <w:rsid w:val="1C6C40F3"/>
    <w:rsid w:val="1CFC17FE"/>
    <w:rsid w:val="1DC53ABB"/>
    <w:rsid w:val="1E1C4706"/>
    <w:rsid w:val="1E8A0861"/>
    <w:rsid w:val="1EE77A61"/>
    <w:rsid w:val="1F0E71C0"/>
    <w:rsid w:val="1FD60202"/>
    <w:rsid w:val="200F101E"/>
    <w:rsid w:val="206250E9"/>
    <w:rsid w:val="21DA1AFF"/>
    <w:rsid w:val="221C3EA5"/>
    <w:rsid w:val="22513B6F"/>
    <w:rsid w:val="22E32941"/>
    <w:rsid w:val="22F05B25"/>
    <w:rsid w:val="237F295E"/>
    <w:rsid w:val="23F724F4"/>
    <w:rsid w:val="241844BD"/>
    <w:rsid w:val="24197243"/>
    <w:rsid w:val="244020ED"/>
    <w:rsid w:val="249D7540"/>
    <w:rsid w:val="24FB42AA"/>
    <w:rsid w:val="2526291D"/>
    <w:rsid w:val="255A0F8D"/>
    <w:rsid w:val="25B032A3"/>
    <w:rsid w:val="25BA26B3"/>
    <w:rsid w:val="25E611D4"/>
    <w:rsid w:val="25E73EE8"/>
    <w:rsid w:val="26451C3D"/>
    <w:rsid w:val="264F6618"/>
    <w:rsid w:val="268109EF"/>
    <w:rsid w:val="26822B98"/>
    <w:rsid w:val="27715E45"/>
    <w:rsid w:val="28BD6C68"/>
    <w:rsid w:val="290D6316"/>
    <w:rsid w:val="29E2455C"/>
    <w:rsid w:val="2AB56C65"/>
    <w:rsid w:val="2B0B4AD7"/>
    <w:rsid w:val="2B125E66"/>
    <w:rsid w:val="2B465B0F"/>
    <w:rsid w:val="2B873B84"/>
    <w:rsid w:val="2BAC37E0"/>
    <w:rsid w:val="2BE05A7A"/>
    <w:rsid w:val="2BFB588A"/>
    <w:rsid w:val="2C477D91"/>
    <w:rsid w:val="2C8903AA"/>
    <w:rsid w:val="2C9D5C03"/>
    <w:rsid w:val="2CDF7FCA"/>
    <w:rsid w:val="2D287BC3"/>
    <w:rsid w:val="2EC21951"/>
    <w:rsid w:val="2ECE02F6"/>
    <w:rsid w:val="2EF44200"/>
    <w:rsid w:val="2EF667B7"/>
    <w:rsid w:val="2F0646E8"/>
    <w:rsid w:val="2F522CD5"/>
    <w:rsid w:val="2F571061"/>
    <w:rsid w:val="2FD91648"/>
    <w:rsid w:val="2FFF10AF"/>
    <w:rsid w:val="301C037C"/>
    <w:rsid w:val="303F2198"/>
    <w:rsid w:val="30705B08"/>
    <w:rsid w:val="31725087"/>
    <w:rsid w:val="31F108E6"/>
    <w:rsid w:val="3251196A"/>
    <w:rsid w:val="3316039F"/>
    <w:rsid w:val="33356B95"/>
    <w:rsid w:val="337104A0"/>
    <w:rsid w:val="33AB2233"/>
    <w:rsid w:val="34092080"/>
    <w:rsid w:val="34480B4A"/>
    <w:rsid w:val="35BB02C9"/>
    <w:rsid w:val="35D5640E"/>
    <w:rsid w:val="36610C19"/>
    <w:rsid w:val="36E903C3"/>
    <w:rsid w:val="37C4498C"/>
    <w:rsid w:val="37F45509"/>
    <w:rsid w:val="38134C02"/>
    <w:rsid w:val="381C6576"/>
    <w:rsid w:val="386F66A6"/>
    <w:rsid w:val="388176E1"/>
    <w:rsid w:val="38BE08D4"/>
    <w:rsid w:val="38EF5A38"/>
    <w:rsid w:val="39584C8F"/>
    <w:rsid w:val="39AC09FE"/>
    <w:rsid w:val="39E3734B"/>
    <w:rsid w:val="3A521B04"/>
    <w:rsid w:val="3A6164C2"/>
    <w:rsid w:val="3ACF5B21"/>
    <w:rsid w:val="3AD849D6"/>
    <w:rsid w:val="3AEF1D20"/>
    <w:rsid w:val="3B2C087E"/>
    <w:rsid w:val="3B652B31"/>
    <w:rsid w:val="3C8B1C46"/>
    <w:rsid w:val="3C8B5A78"/>
    <w:rsid w:val="3CEA63B8"/>
    <w:rsid w:val="3CEB7098"/>
    <w:rsid w:val="3D4870FB"/>
    <w:rsid w:val="3D913CE3"/>
    <w:rsid w:val="3DA73E1A"/>
    <w:rsid w:val="3E012496"/>
    <w:rsid w:val="3E3E7990"/>
    <w:rsid w:val="3E9F62B4"/>
    <w:rsid w:val="3EC9387C"/>
    <w:rsid w:val="3EEE50DC"/>
    <w:rsid w:val="3EF6762C"/>
    <w:rsid w:val="3F0972CC"/>
    <w:rsid w:val="3F237562"/>
    <w:rsid w:val="3F485BA6"/>
    <w:rsid w:val="3FFA687A"/>
    <w:rsid w:val="400B13AA"/>
    <w:rsid w:val="40186A6B"/>
    <w:rsid w:val="401D2E8B"/>
    <w:rsid w:val="404D19C2"/>
    <w:rsid w:val="40703903"/>
    <w:rsid w:val="40EB4D37"/>
    <w:rsid w:val="41136956"/>
    <w:rsid w:val="415D49B6"/>
    <w:rsid w:val="42133F19"/>
    <w:rsid w:val="425102E5"/>
    <w:rsid w:val="42B37AD7"/>
    <w:rsid w:val="433724B6"/>
    <w:rsid w:val="434F0DD2"/>
    <w:rsid w:val="439356A2"/>
    <w:rsid w:val="43A619E6"/>
    <w:rsid w:val="44705452"/>
    <w:rsid w:val="451068CF"/>
    <w:rsid w:val="4537679D"/>
    <w:rsid w:val="45547BF7"/>
    <w:rsid w:val="45550265"/>
    <w:rsid w:val="458D2861"/>
    <w:rsid w:val="45FB3C6E"/>
    <w:rsid w:val="4644207D"/>
    <w:rsid w:val="46C5493C"/>
    <w:rsid w:val="4857294A"/>
    <w:rsid w:val="487A531F"/>
    <w:rsid w:val="489F7E93"/>
    <w:rsid w:val="494D47E1"/>
    <w:rsid w:val="49777AB0"/>
    <w:rsid w:val="499404AB"/>
    <w:rsid w:val="49AF10BA"/>
    <w:rsid w:val="49CF7F06"/>
    <w:rsid w:val="49D46CB0"/>
    <w:rsid w:val="4A115AFF"/>
    <w:rsid w:val="4AF33166"/>
    <w:rsid w:val="4B524C03"/>
    <w:rsid w:val="4B683B54"/>
    <w:rsid w:val="4B751DCD"/>
    <w:rsid w:val="4C6B6080"/>
    <w:rsid w:val="4C9A6DAC"/>
    <w:rsid w:val="4CA123B2"/>
    <w:rsid w:val="4D8C1650"/>
    <w:rsid w:val="4E043A2C"/>
    <w:rsid w:val="4E5263F6"/>
    <w:rsid w:val="4E884285"/>
    <w:rsid w:val="4F987E45"/>
    <w:rsid w:val="4FE94A01"/>
    <w:rsid w:val="518A6A6A"/>
    <w:rsid w:val="51D73CF5"/>
    <w:rsid w:val="51F577C4"/>
    <w:rsid w:val="5254412B"/>
    <w:rsid w:val="526606C2"/>
    <w:rsid w:val="526D37FE"/>
    <w:rsid w:val="52C11D9C"/>
    <w:rsid w:val="52E02250"/>
    <w:rsid w:val="545E48C4"/>
    <w:rsid w:val="54895D56"/>
    <w:rsid w:val="54B000C3"/>
    <w:rsid w:val="54FA643B"/>
    <w:rsid w:val="55124B31"/>
    <w:rsid w:val="55766E6E"/>
    <w:rsid w:val="55970A70"/>
    <w:rsid w:val="55AB2C15"/>
    <w:rsid w:val="56150435"/>
    <w:rsid w:val="5684707C"/>
    <w:rsid w:val="56990B5C"/>
    <w:rsid w:val="56F40656"/>
    <w:rsid w:val="577A6198"/>
    <w:rsid w:val="57CF0AB7"/>
    <w:rsid w:val="5824436E"/>
    <w:rsid w:val="58800DDA"/>
    <w:rsid w:val="58B02102"/>
    <w:rsid w:val="58D345D7"/>
    <w:rsid w:val="58EC5834"/>
    <w:rsid w:val="58F509F1"/>
    <w:rsid w:val="59561490"/>
    <w:rsid w:val="5A6C6A91"/>
    <w:rsid w:val="5A8C0EE1"/>
    <w:rsid w:val="5A9203C6"/>
    <w:rsid w:val="5AF63F2C"/>
    <w:rsid w:val="5AFE31A9"/>
    <w:rsid w:val="5B006E87"/>
    <w:rsid w:val="5B94602C"/>
    <w:rsid w:val="5B982FBB"/>
    <w:rsid w:val="5BCD355F"/>
    <w:rsid w:val="5C29279D"/>
    <w:rsid w:val="5C40108E"/>
    <w:rsid w:val="5CB93E9E"/>
    <w:rsid w:val="5CE2696E"/>
    <w:rsid w:val="5D1C4EEA"/>
    <w:rsid w:val="5D2A7051"/>
    <w:rsid w:val="5D3711F6"/>
    <w:rsid w:val="5D8C38B4"/>
    <w:rsid w:val="5DA85B09"/>
    <w:rsid w:val="5DBA7B13"/>
    <w:rsid w:val="5E192A8C"/>
    <w:rsid w:val="5E4B6A02"/>
    <w:rsid w:val="5EA5304E"/>
    <w:rsid w:val="5EE21A4D"/>
    <w:rsid w:val="5EEC0A2E"/>
    <w:rsid w:val="5EEF6691"/>
    <w:rsid w:val="5F02116F"/>
    <w:rsid w:val="5F0B14B3"/>
    <w:rsid w:val="5F144150"/>
    <w:rsid w:val="5F1E676F"/>
    <w:rsid w:val="5FCC474A"/>
    <w:rsid w:val="5FDC6467"/>
    <w:rsid w:val="5FE13A7D"/>
    <w:rsid w:val="5FEC48FC"/>
    <w:rsid w:val="603B13E0"/>
    <w:rsid w:val="60BD6207"/>
    <w:rsid w:val="60C457EE"/>
    <w:rsid w:val="611E485D"/>
    <w:rsid w:val="62143425"/>
    <w:rsid w:val="62C531E2"/>
    <w:rsid w:val="636C18B0"/>
    <w:rsid w:val="6372336A"/>
    <w:rsid w:val="642301C1"/>
    <w:rsid w:val="65513F15"/>
    <w:rsid w:val="65850603"/>
    <w:rsid w:val="658835A0"/>
    <w:rsid w:val="661C580F"/>
    <w:rsid w:val="663401AC"/>
    <w:rsid w:val="66B3219B"/>
    <w:rsid w:val="676D7A10"/>
    <w:rsid w:val="676E5C6E"/>
    <w:rsid w:val="67F87BB6"/>
    <w:rsid w:val="689836F2"/>
    <w:rsid w:val="68A2273F"/>
    <w:rsid w:val="68C857DA"/>
    <w:rsid w:val="694A16A0"/>
    <w:rsid w:val="69CD6B71"/>
    <w:rsid w:val="6A3D7B02"/>
    <w:rsid w:val="6A537C0F"/>
    <w:rsid w:val="6A6A6904"/>
    <w:rsid w:val="6A930E20"/>
    <w:rsid w:val="6AA73316"/>
    <w:rsid w:val="6ACA5ED3"/>
    <w:rsid w:val="6B0C27EC"/>
    <w:rsid w:val="6B0E324B"/>
    <w:rsid w:val="6B8005EE"/>
    <w:rsid w:val="6BC02799"/>
    <w:rsid w:val="6BD67F8E"/>
    <w:rsid w:val="6C141AD6"/>
    <w:rsid w:val="6C6A0987"/>
    <w:rsid w:val="6C727F37"/>
    <w:rsid w:val="6CCD1611"/>
    <w:rsid w:val="6CF55E4F"/>
    <w:rsid w:val="6E080427"/>
    <w:rsid w:val="6E3B1A16"/>
    <w:rsid w:val="6E7361E8"/>
    <w:rsid w:val="6EF74724"/>
    <w:rsid w:val="6F53034C"/>
    <w:rsid w:val="6F5E0F2C"/>
    <w:rsid w:val="6FAB0165"/>
    <w:rsid w:val="6FB40867"/>
    <w:rsid w:val="6FDA6278"/>
    <w:rsid w:val="6FE167E0"/>
    <w:rsid w:val="70321E64"/>
    <w:rsid w:val="70425A6F"/>
    <w:rsid w:val="7094315B"/>
    <w:rsid w:val="70E138DD"/>
    <w:rsid w:val="71F25676"/>
    <w:rsid w:val="728E6CC4"/>
    <w:rsid w:val="72FA154C"/>
    <w:rsid w:val="73075151"/>
    <w:rsid w:val="73243F55"/>
    <w:rsid w:val="74275AAB"/>
    <w:rsid w:val="749303A9"/>
    <w:rsid w:val="76430DF0"/>
    <w:rsid w:val="77640DC4"/>
    <w:rsid w:val="77761041"/>
    <w:rsid w:val="77B05DB7"/>
    <w:rsid w:val="77BF249E"/>
    <w:rsid w:val="78283BA0"/>
    <w:rsid w:val="78320EC2"/>
    <w:rsid w:val="78710F8A"/>
    <w:rsid w:val="78B663C1"/>
    <w:rsid w:val="78C94969"/>
    <w:rsid w:val="78CE7F8D"/>
    <w:rsid w:val="78EE46B5"/>
    <w:rsid w:val="797E32B5"/>
    <w:rsid w:val="79976EC2"/>
    <w:rsid w:val="79FE13F8"/>
    <w:rsid w:val="7A124B07"/>
    <w:rsid w:val="7A347A2C"/>
    <w:rsid w:val="7AAD6F4C"/>
    <w:rsid w:val="7AD5450C"/>
    <w:rsid w:val="7AD86FC8"/>
    <w:rsid w:val="7B045251"/>
    <w:rsid w:val="7BE05DEC"/>
    <w:rsid w:val="7BF75443"/>
    <w:rsid w:val="7C2D2D57"/>
    <w:rsid w:val="7C8230DF"/>
    <w:rsid w:val="7CB23DAE"/>
    <w:rsid w:val="7D6A2A1C"/>
    <w:rsid w:val="7E0E55E6"/>
    <w:rsid w:val="7E342E45"/>
    <w:rsid w:val="7E552DA7"/>
    <w:rsid w:val="7E6B2A38"/>
    <w:rsid w:val="7F094DDB"/>
    <w:rsid w:val="7F2F1CB8"/>
    <w:rsid w:val="7F91472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4"/>
    <w:semiHidden/>
    <w:unhideWhenUsed/>
    <w:qFormat/>
    <w:uiPriority w:val="99"/>
    <w:pPr>
      <w:ind w:left="100" w:leftChars="2500"/>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kern w:val="0"/>
      <w:sz w:val="24"/>
    </w:rPr>
  </w:style>
  <w:style w:type="character" w:styleId="9">
    <w:name w:val="Strong"/>
    <w:basedOn w:val="8"/>
    <w:qFormat/>
    <w:uiPriority w:val="0"/>
    <w:rPr>
      <w:b/>
    </w:rPr>
  </w:style>
  <w:style w:type="character" w:customStyle="1" w:styleId="10">
    <w:name w:val="页眉 Char"/>
    <w:link w:val="5"/>
    <w:qFormat/>
    <w:uiPriority w:val="99"/>
    <w:rPr>
      <w:kern w:val="2"/>
      <w:sz w:val="18"/>
      <w:szCs w:val="18"/>
    </w:rPr>
  </w:style>
  <w:style w:type="character" w:customStyle="1" w:styleId="11">
    <w:name w:val="页脚 Char"/>
    <w:link w:val="4"/>
    <w:qFormat/>
    <w:uiPriority w:val="99"/>
    <w:rPr>
      <w:kern w:val="2"/>
      <w:sz w:val="18"/>
      <w:szCs w:val="18"/>
    </w:rPr>
  </w:style>
  <w:style w:type="character" w:customStyle="1" w:styleId="12">
    <w:name w:val="批注框文本 Char"/>
    <w:link w:val="3"/>
    <w:semiHidden/>
    <w:qFormat/>
    <w:uiPriority w:val="99"/>
    <w:rPr>
      <w:kern w:val="2"/>
      <w:sz w:val="18"/>
      <w:szCs w:val="18"/>
    </w:rPr>
  </w:style>
  <w:style w:type="character" w:customStyle="1" w:styleId="13">
    <w:name w:val="style11"/>
    <w:basedOn w:val="8"/>
    <w:qFormat/>
    <w:uiPriority w:val="0"/>
    <w:rPr>
      <w:rFonts w:hint="eastAsia" w:ascii="新宋体" w:hAnsi="新宋体" w:eastAsia="新宋体"/>
      <w:sz w:val="36"/>
      <w:szCs w:val="36"/>
    </w:rPr>
  </w:style>
  <w:style w:type="character" w:customStyle="1" w:styleId="14">
    <w:name w:val="日期 Char"/>
    <w:basedOn w:val="8"/>
    <w:link w:val="2"/>
    <w:semiHidden/>
    <w:qFormat/>
    <w:uiPriority w:val="99"/>
    <w:rPr>
      <w:rFonts w:ascii="Calibri" w:hAnsi="Calibri" w:eastAsia="宋体" w:cs="Times New Roman"/>
      <w:kern w:val="2"/>
      <w:sz w:val="21"/>
      <w:szCs w:val="22"/>
    </w:rPr>
  </w:style>
  <w:style w:type="paragraph" w:styleId="1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09403F-F3F6-4646-85D8-E9351233E35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12</Pages>
  <Words>4759</Words>
  <Characters>4851</Characters>
  <Lines>5</Lines>
  <Paragraphs>13</Paragraphs>
  <TotalTime>9</TotalTime>
  <ScaleCrop>false</ScaleCrop>
  <LinksUpToDate>false</LinksUpToDate>
  <CharactersWithSpaces>4896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2018-12-27T06:52:00Z</dcterms:created>
  <dc:creator>Windows 用户</dc:creator>
  <cp:lastModifiedBy>陈燮林</cp:lastModifiedBy>
  <cp:lastPrinted>2022-05-17T03:37:00Z</cp:lastPrinted>
  <dcterms:modified xsi:type="dcterms:W3CDTF">2025-09-24T09:25:04Z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SaveFontToCloudKey">
    <vt:lpwstr>289286337_cloud</vt:lpwstr>
  </property>
  <property fmtid="{D5CDD505-2E9C-101B-9397-08002B2CF9AE}" pid="4" name="ICV">
    <vt:lpwstr>A6F6278A365F467AA5968EFEB610C0DC_13</vt:lpwstr>
  </property>
  <property fmtid="{D5CDD505-2E9C-101B-9397-08002B2CF9AE}" pid="5" name="KSOTemplateDocerSaveRecord">
    <vt:lpwstr>eyJoZGlkIjoiODlhMTU0ZDNjOGQ3MGViNGYzODFhYzhjZjU4OTg4N2MiLCJ1c2VySWQiOiI2NjExNTM0MTgifQ==</vt:lpwstr>
  </property>
</Properties>
</file>