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AF1" w:rsidRPr="00C0003F" w:rsidRDefault="00BE0A61" w:rsidP="007526EC">
      <w:pPr>
        <w:widowControl/>
        <w:spacing w:line="800" w:lineRule="exact"/>
        <w:jc w:val="center"/>
        <w:rPr>
          <w:rFonts w:ascii="方正小标宋_GBK" w:eastAsia="方正小标宋_GBK" w:hAnsiTheme="majorEastAsia" w:cs="宋体"/>
          <w:color w:val="000000"/>
          <w:kern w:val="0"/>
          <w:sz w:val="44"/>
          <w:szCs w:val="44"/>
        </w:rPr>
      </w:pPr>
      <w:r w:rsidRPr="00C0003F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202</w:t>
      </w:r>
      <w:r w:rsidR="001D5D43" w:rsidRPr="00C0003F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4</w:t>
      </w:r>
      <w:r w:rsidR="005B253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年</w:t>
      </w:r>
      <w:r w:rsidR="00657AF1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度南京市城乡建设委员会--</w:t>
      </w:r>
      <w:r w:rsidR="00B133EC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南京市建筑业施工人员服务管理中心</w:t>
      </w:r>
      <w:r w:rsidR="001A347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整体绩效</w:t>
      </w:r>
    </w:p>
    <w:p w:rsidR="001A3475" w:rsidRPr="00C0003F" w:rsidRDefault="00BE0A61" w:rsidP="007526EC">
      <w:pPr>
        <w:widowControl/>
        <w:spacing w:line="800" w:lineRule="exact"/>
        <w:jc w:val="center"/>
        <w:rPr>
          <w:rFonts w:ascii="方正小标宋_GBK" w:eastAsia="方正小标宋_GBK" w:hAnsiTheme="majorEastAsia" w:cs="宋体"/>
          <w:color w:val="000000"/>
          <w:kern w:val="0"/>
          <w:sz w:val="44"/>
          <w:szCs w:val="44"/>
        </w:rPr>
      </w:pPr>
      <w:r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自</w:t>
      </w:r>
      <w:r w:rsidR="001A347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评价报告</w:t>
      </w:r>
    </w:p>
    <w:p w:rsidR="00F5412C" w:rsidRDefault="00F5412C" w:rsidP="0026502F">
      <w:pPr>
        <w:widowControl/>
        <w:spacing w:line="300" w:lineRule="auto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F5412C" w:rsidRPr="007526EC" w:rsidRDefault="00F5412C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根据市财政局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《关于开展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年度预算绩效信息公开工作的通知》（宁财绩〔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〕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41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号）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精神，我单位高度重视，现将</w:t>
      </w:r>
      <w:r w:rsidR="00C75B2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整体绩效评价工作报告如下：</w:t>
      </w:r>
    </w:p>
    <w:p w:rsidR="001A3475" w:rsidRPr="003E7C98" w:rsidRDefault="001A3475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="00BE0A61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单位</w:t>
      </w:r>
      <w:r w:rsidR="00BE0A61" w:rsidRPr="003E7C98">
        <w:rPr>
          <w:rFonts w:ascii="黑体" w:eastAsia="黑体" w:hAnsi="黑体" w:hint="eastAsia"/>
          <w:sz w:val="32"/>
          <w:szCs w:val="32"/>
        </w:rPr>
        <w:t>概况</w:t>
      </w:r>
    </w:p>
    <w:p w:rsidR="001A3475" w:rsidRPr="007526EC" w:rsidRDefault="001A3475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（一）</w:t>
      </w:r>
      <w:r w:rsidR="00BE0A61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单位基本情况</w:t>
      </w:r>
    </w:p>
    <w:p w:rsidR="0056219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单位组建</w:t>
      </w:r>
    </w:p>
    <w:p w:rsidR="00BF554F" w:rsidRPr="007526EC" w:rsidRDefault="0056219B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1991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12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10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日，市编办同意建立南京市建筑业社会劳动保险统筹办公室；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200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日，市编办批复更名为南京市建筑安装工程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劳动保险费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征收管理处；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2009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26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日，市编办批复更名为南京市建设工程社会保障费征收管理处；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2013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年更名为南京市建筑业施工人员服务管理中心。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我单位是公益一类自收自支的事业单位，经费来源于纳入财政专户管理的其他非税收入。</w:t>
      </w:r>
    </w:p>
    <w:p w:rsidR="0056219B" w:rsidRPr="007526EC" w:rsidRDefault="0056219B" w:rsidP="007526EC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单位职责</w:t>
      </w:r>
    </w:p>
    <w:p w:rsidR="00AB16E9" w:rsidRPr="007526EC" w:rsidRDefault="0056219B" w:rsidP="007526EC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的主要职责是开展建筑业施工人员（农民工）实名制管理；承担建筑市场监管相关服务工作；承担建设工程社会保险费征收管理工作；按规定向财政划转建筑业施工人员社会保险费；承担建筑业施工人员的权益保障和管理工作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；承担建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筑业农民工工资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保障金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日常事务性工作相关职责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</w:t>
      </w:r>
    </w:p>
    <w:p w:rsidR="009E4177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内设机构及人员情况</w:t>
      </w:r>
    </w:p>
    <w:p w:rsidR="00BF554F" w:rsidRPr="007526EC" w:rsidRDefault="00764343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截至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12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月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日，</w:t>
      </w:r>
      <w:r w:rsidR="00BF554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单位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核定事业编制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15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名，实有在编人员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人；单位内设科室四个，分别为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管理一科</w:t>
      </w:r>
      <w:r w:rsidR="00AB16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管理二科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、财务科、办公室。</w:t>
      </w:r>
    </w:p>
    <w:p w:rsidR="0056219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资产情况</w:t>
      </w:r>
    </w:p>
    <w:p w:rsidR="0056219B" w:rsidRPr="007526EC" w:rsidRDefault="00764343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截至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12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月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日，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资产账面数为：资产</w:t>
      </w:r>
      <w:r w:rsidR="009A7D6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合计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66.65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万元（其中流动资产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131.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万元，占比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5.99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%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；非流动资产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34.71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万元，占比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4.01</w:t>
      </w:r>
      <w:r w:rsidR="00CF02D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%</w:t>
      </w:r>
      <w:r w:rsidR="00BF554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；实有</w:t>
      </w:r>
      <w:r w:rsidR="00F91CB7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资产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数为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366.65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</w:t>
      </w:r>
      <w:r w:rsidR="00F91CB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账实一致。</w:t>
      </w:r>
    </w:p>
    <w:p w:rsidR="000242D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5</w:t>
      </w:r>
      <w:r w:rsidR="00CE0F38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重点工作任务</w:t>
      </w:r>
    </w:p>
    <w:p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）社会保险费管理。</w:t>
      </w:r>
    </w:p>
    <w:p w:rsidR="003B77E8" w:rsidRPr="007526EC" w:rsidRDefault="003B77E8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依规办理建设工程社会保险费结算，严把结算标准，符合条件的按时限办结。</w:t>
      </w:r>
    </w:p>
    <w:p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）施工人员实名制管理。</w:t>
      </w:r>
    </w:p>
    <w:p w:rsidR="003B77E8" w:rsidRPr="007526EC" w:rsidRDefault="003B77E8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开工项目施工人员实名制管理全覆盖，加强对区级管理部门实名制工作业务指导。督促企业通过“南京市建筑工人管理服务信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息平台”录入人员进场，深化实名制管理，加强现场人员人脸考勤管理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。督促企业按项目开设农民工工资专户，并通过管理平台使用工资专户对所属工人发放工资，督促企业落实《保障农民工工资支付条例》各项规定。</w:t>
      </w:r>
    </w:p>
    <w:p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）民工工资保证金管理。</w:t>
      </w:r>
    </w:p>
    <w:p w:rsidR="003B77E8" w:rsidRPr="007526EC" w:rsidRDefault="003B77E8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督促企业通过“南京市建筑工人管理服务信息平台”逐步完成民工工资保证金现金换保函工作，督促企业落实民工工资保证金各项管理要求。</w:t>
      </w:r>
    </w:p>
    <w:p w:rsidR="001A3475" w:rsidRPr="007526EC" w:rsidRDefault="00F5412C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（二）单位</w:t>
      </w:r>
      <w:r w:rsidR="00F91CB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收支</w:t>
      </w:r>
      <w:r w:rsidR="001A3475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情况</w:t>
      </w:r>
    </w:p>
    <w:p w:rsidR="000266D9" w:rsidRPr="007526EC" w:rsidRDefault="000266D9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年度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部门预算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834.39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</w:t>
      </w:r>
      <w:r w:rsidR="00CF02D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其中</w:t>
      </w:r>
      <w:r w:rsidR="00CF02D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：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财政拨款收入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72.62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万元，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事业收入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761.77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万元。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预算支出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834.39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万元，其中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: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基本支出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70.21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万元，项目支出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64.18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万元。</w:t>
      </w:r>
    </w:p>
    <w:p w:rsidR="001A3475" w:rsidRPr="007526EC" w:rsidRDefault="001A3475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（三）</w:t>
      </w:r>
      <w:r w:rsidR="00F541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绩效目标</w:t>
      </w:r>
    </w:p>
    <w:p w:rsidR="00E84614" w:rsidRPr="007526EC" w:rsidRDefault="00E84614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中长期目标：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做好建筑领域农民工工资清欠攻坚工作。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严格落实建设工程实名制管理等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四项制度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工作，保障农民工工资支付。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加强政策宣传，打破仅由业务办理部门单打独斗的局面，加强资源整合、协同配合，打好政策宣传整体仗。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完善系统平台功能搭建，提高施工总承包单位存储工资保证金积极主动性，推进落实落细工资保证金实施办法。</w:t>
      </w:r>
    </w:p>
    <w:p w:rsidR="00E84614" w:rsidRPr="007526EC" w:rsidRDefault="00E84614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年度目标：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做好年底建筑领域农民工工资清欠攻坚工作。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进一步严格落实建设工程实名制管理等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四项制度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工作，保障农民工工资支付。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进一步加强政策宣传，打破仅由业务办理部门单打独斗的局面，加强资源整合、协同配合，打好政策宣传整体仗。完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善系统平台功能搭建，提高施工总承包单位存储工资保证金积极主动性，推进落实落细工资保证金实施办法。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.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加强资金管理。为实现资金管理，针对民工工资保证金，继续通过招投标方式进行存放。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进一步学习二十大精神，进一步加深对党的二十大精神的重大意义和提出的重要思想、重要观点、重大论断、重大举措的理解，切实把党的二十大精神学习成果转化为推动高质量发展的工作成效。</w:t>
      </w:r>
    </w:p>
    <w:p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深化全面从严治党。加强廉政教育，强化阵地建设和氛围营造，强化廉洁从政意识严格遵守中央八项规定及实施细则精神，严格执行“三重一大”制度。</w:t>
      </w:r>
    </w:p>
    <w:p w:rsidR="001A3475" w:rsidRPr="00026FC5" w:rsidRDefault="00F91CB7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26FC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r w:rsidR="001A3475" w:rsidRPr="00026FC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、评价结论</w:t>
      </w:r>
    </w:p>
    <w:p w:rsidR="000266D9" w:rsidRPr="007526EC" w:rsidRDefault="000266D9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本次绩效评价依据市财政局《南京市级财政预算绩效管理办法》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、《南京市市级预算绩效管理工作计划》、《南京市市级预算绩效管理结果应用暂行办法》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等相关规定，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紧密联系单位实际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，运用评价体系及评分标准，设置了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个一级指标、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22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个二级指标、</w:t>
      </w:r>
      <w:r w:rsidR="00AA292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个三级指标体系；同时结合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单位年度工作计划、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财务账表数据、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部门履职情况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、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市级考核情况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等方式，整理数据、分析汇总，对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我单位整体绩效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进行严格认真地评价。绩效综合评分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="00625232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分，等级为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优秀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。</w:t>
      </w:r>
    </w:p>
    <w:p w:rsidR="001A3475" w:rsidRPr="003E7C98" w:rsidRDefault="00F91CB7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</w:t>
      </w: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部门履职成效</w:t>
      </w:r>
    </w:p>
    <w:p w:rsidR="00CF02DF" w:rsidRPr="00621A2F" w:rsidRDefault="00CF02DF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621A2F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621A2F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621A2F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621A2F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年度部门履职成效显著，圆满完成了年度工作任务。</w:t>
      </w:r>
    </w:p>
    <w:p w:rsidR="00621A2F" w:rsidRDefault="00621A2F" w:rsidP="007526EC">
      <w:pPr>
        <w:pStyle w:val="a7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全过程监管落实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四项制度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。一是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实名管理归集人员信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lastRenderedPageBreak/>
        <w:t>息。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我市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2645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个项目累计考勤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77.2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万人，信息系统累计登录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万人次。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监管企业发放农民工工资。定期开展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宁安薪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宣贯会暨实名制专题培训，为溧水区、市园林行业协会、地铁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号线等现场提供政策宣贯和解答服务。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通过工资专用账户发放农民工工资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196.35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亿元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i/>
          <w:iCs/>
          <w:sz w:val="32"/>
          <w:szCs w:val="32"/>
        </w:rPr>
        <w:t>注：该数字随银行系统陆续回传，有微变动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加大惩戒力度规范市场管理。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实地检查近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600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个项目，现场发出责令整改通知书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17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份，集中约谈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189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59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个项目未落实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四项制度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的予以公开预警通报，对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个项目的参建单位进行行政处罚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近一百万元，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目前全部结案。</w:t>
      </w:r>
    </w:p>
    <w:p w:rsidR="00621A2F" w:rsidRDefault="00621A2F" w:rsidP="007526EC">
      <w:pPr>
        <w:pStyle w:val="a7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全链条协同化解处置清欠矛盾。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受理建设领域欠薪投诉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7677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起，同比上升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14.56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；涉及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31889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人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7.02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亿元，同比下降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27.71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、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14.56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；编制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期清欠工作信息动态；对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42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家施工企业、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个建设单位、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名个人限制市场准入，对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家施工企业、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个建设单位予以通报。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一是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突出重点精准监管。针对欠薪问题反映多的施工企业，重点进行预警告知、集中约谈、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四不两直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检查，</w:t>
      </w:r>
      <w:r>
        <w:rPr>
          <w:rFonts w:ascii="Times New Roman" w:eastAsia="方正仿宋_GBK" w:hAnsi="Times New Roman" w:cs="Times New Roman"/>
          <w:bCs/>
          <w:kern w:val="2"/>
          <w:sz w:val="32"/>
          <w:szCs w:val="32"/>
        </w:rPr>
        <w:t>对风险隐患早发现、早介入、早处置。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专项督查严抓严管。对欠薪问题的长期性、复杂性、反复性保持高度警醒，每年联合市人社局、委内相关单位对在建项目进行随机抽查。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多措并举有效处置。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市、区（园区）形成工作架构，配备专兼职人员；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建立综合协调工作机制，全年受理、处置欠薪案件；对投诉的欠薪案件，与市人社局、网信办、公安局等部门联合处置，整体平稳有序。</w:t>
      </w:r>
    </w:p>
    <w:p w:rsidR="00621A2F" w:rsidRDefault="00621A2F" w:rsidP="007526EC">
      <w:pPr>
        <w:pStyle w:val="a7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lastRenderedPageBreak/>
        <w:t>3.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全资金保障兜住清理拖欠工作底线。</w:t>
      </w:r>
      <w:r>
        <w:rPr>
          <w:rFonts w:ascii="Times New Roman" w:eastAsia="方正仿宋_GBK" w:hAnsi="Times New Roman" w:cs="Times New Roman"/>
          <w:b/>
          <w:sz w:val="32"/>
          <w:szCs w:val="32"/>
          <w:shd w:val="clear" w:color="auto" w:fill="FFFFFF"/>
        </w:rPr>
        <w:t>一是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降低缴存额度减轻企业负担。服管中心迅速响应省政府《</w:t>
      </w:r>
      <w:r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关于促进全省建筑业高质量发展的意见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》中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不超过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80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万元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要求，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  <w:shd w:val="clear" w:color="auto" w:fill="FFFFFF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按企业缴存工资保证金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395.8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  <w:shd w:val="clear" w:color="auto" w:fill="FFFFFF"/>
        </w:rPr>
        <w:t>2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万元，减轻企业负担。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兜住清欠支付工资的底线。清欠工作中需要应急动用保证金时，由区监管部门提出申请，服管中心启动应急支付程序，为清理拖欠农民工工资兜住底线。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规范管理守好资金池。目前约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家企业按现金缴存工资保证金在账，约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4800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家企业按银行保函或保证保险缴存在册，通过规范程序确定金融机构，并定期对账，确保资金安全。</w:t>
      </w:r>
    </w:p>
    <w:p w:rsidR="00F91CB7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、存在问题及原因分析</w:t>
      </w:r>
    </w:p>
    <w:p w:rsidR="00F91CB7" w:rsidRPr="007526EC" w:rsidRDefault="00F91CB7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因</w:t>
      </w:r>
      <w:r w:rsidR="00C75B2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整体绩效评价工作</w:t>
      </w:r>
      <w:r w:rsidR="00D7496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开展涉及面广，专业性强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</w:t>
      </w:r>
      <w:r w:rsidR="00D7496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加上缺乏系统的培训，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工作上还存在一些不足</w:t>
      </w:r>
      <w:r w:rsidR="008F0DA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，如</w:t>
      </w:r>
      <w:r w:rsidR="008574F6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内控监督评价工作开展</w:t>
      </w:r>
      <w:r w:rsidR="0072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还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不够到位</w:t>
      </w:r>
      <w:r w:rsidR="008F0DA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等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</w:t>
      </w:r>
      <w:r w:rsidR="008574F6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 xml:space="preserve"> </w:t>
      </w:r>
    </w:p>
    <w:p w:rsidR="001A3475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、有关建议</w:t>
      </w:r>
    </w:p>
    <w:p w:rsidR="00F91CB7" w:rsidRPr="007526EC" w:rsidRDefault="00F91CB7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建议财政多举办相关培训，进一步熟悉掌握绩效评价工作程序、方法和要求，为下年度工作开展打下扎实</w:t>
      </w:r>
      <w:r w:rsidR="002D6BD5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基础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。</w:t>
      </w:r>
    </w:p>
    <w:p w:rsidR="001A3475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</w:t>
      </w:r>
      <w:r w:rsidR="00E7121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评价工作开展情况及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其他需说明的情况</w:t>
      </w:r>
    </w:p>
    <w:p w:rsidR="001A3475" w:rsidRPr="007526EC" w:rsidRDefault="00E7121B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为认真做好此次绩效评价工作，我单位明确由财务科牵头具体落实，各科室负责配合做好相关工作，认真学习绩效评价相关文件，制订指标体系。根据单位职能、年度工作目标、工作成效，经充分讨论研究制定单位绩效评价指标体系。</w:t>
      </w:r>
    </w:p>
    <w:p w:rsidR="001A3475" w:rsidRPr="00496BDA" w:rsidRDefault="001A3475" w:rsidP="007526EC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A3475" w:rsidRPr="007526EC" w:rsidRDefault="001A3475" w:rsidP="007526EC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附件：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服管中心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621A2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年度整体绩效评价指标体系评分表</w:t>
      </w:r>
    </w:p>
    <w:p w:rsidR="002D6BD5" w:rsidRDefault="002D6BD5" w:rsidP="007526EC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2D6BD5" w:rsidRDefault="002D6BD5" w:rsidP="007526EC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2D6BD5" w:rsidRDefault="002D6BD5" w:rsidP="007526EC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2D6BD5" w:rsidRPr="007526EC" w:rsidRDefault="002D6BD5" w:rsidP="007526EC">
      <w:pPr>
        <w:spacing w:line="560" w:lineRule="exact"/>
        <w:jc w:val="righ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南京市建筑业施工人员服务管理中心</w:t>
      </w:r>
    </w:p>
    <w:p w:rsidR="002D6BD5" w:rsidRPr="007526EC" w:rsidRDefault="002D6BD5" w:rsidP="007526EC">
      <w:pPr>
        <w:spacing w:line="560" w:lineRule="exact"/>
        <w:ind w:right="1280"/>
        <w:jc w:val="center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 xml:space="preserve">                             </w:t>
      </w:r>
      <w:r w:rsid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 xml:space="preserve">  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621A2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65131D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</w:p>
    <w:p w:rsidR="006848B6" w:rsidRPr="007526EC" w:rsidRDefault="006848B6" w:rsidP="006848B6">
      <w:pPr>
        <w:spacing w:line="300" w:lineRule="auto"/>
        <w:ind w:right="128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sectPr w:rsidR="006848B6" w:rsidRPr="007526EC" w:rsidSect="007D7B0D">
          <w:footerReference w:type="default" r:id="rId8"/>
          <w:pgSz w:w="11906" w:h="16838" w:code="9"/>
          <w:pgMar w:top="2098" w:right="1588" w:bottom="1701" w:left="1588" w:header="1247" w:footer="1247" w:gutter="0"/>
          <w:pgNumType w:fmt="numberInDash"/>
          <w:cols w:space="425"/>
          <w:docGrid w:linePitch="312"/>
        </w:sectPr>
      </w:pPr>
    </w:p>
    <w:p w:rsidR="006848B6" w:rsidRPr="006848B6" w:rsidRDefault="006848B6" w:rsidP="006848B6">
      <w:pPr>
        <w:ind w:firstLineChars="71" w:firstLine="227"/>
        <w:rPr>
          <w:rFonts w:ascii="仿宋" w:eastAsia="仿宋" w:hAnsi="仿宋"/>
          <w:sz w:val="32"/>
          <w:szCs w:val="32"/>
        </w:rPr>
      </w:pPr>
      <w:r w:rsidRPr="006848B6">
        <w:rPr>
          <w:rFonts w:ascii="仿宋" w:eastAsia="仿宋" w:hAnsi="仿宋" w:hint="eastAsia"/>
          <w:sz w:val="32"/>
          <w:szCs w:val="32"/>
        </w:rPr>
        <w:lastRenderedPageBreak/>
        <w:t>附件：服管中心 202</w:t>
      </w:r>
      <w:r w:rsidR="00621A2F">
        <w:rPr>
          <w:rFonts w:ascii="仿宋" w:eastAsia="仿宋" w:hAnsi="仿宋" w:hint="eastAsia"/>
          <w:sz w:val="32"/>
          <w:szCs w:val="32"/>
        </w:rPr>
        <w:t>4</w:t>
      </w:r>
      <w:r w:rsidRPr="006848B6">
        <w:rPr>
          <w:rFonts w:ascii="仿宋" w:eastAsia="仿宋" w:hAnsi="仿宋" w:hint="eastAsia"/>
          <w:sz w:val="32"/>
          <w:szCs w:val="32"/>
        </w:rPr>
        <w:t>年度整体绩效评价指标体系评分表</w:t>
      </w:r>
    </w:p>
    <w:p w:rsidR="006848B6" w:rsidRPr="006848B6" w:rsidRDefault="006848B6" w:rsidP="006848B6">
      <w:pPr>
        <w:ind w:firstLine="640"/>
        <w:rPr>
          <w:rFonts w:ascii="仿宋" w:eastAsia="仿宋" w:hAnsi="仿宋"/>
          <w:sz w:val="32"/>
          <w:szCs w:val="32"/>
        </w:rPr>
        <w:sectPr w:rsidR="006848B6" w:rsidRPr="006848B6" w:rsidSect="009B6B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74" w:right="1247" w:bottom="1418" w:left="1247" w:header="851" w:footer="992" w:gutter="0"/>
          <w:cols w:space="425"/>
          <w:docGrid w:type="lines" w:linePitch="381"/>
        </w:sectPr>
      </w:pPr>
    </w:p>
    <w:tbl>
      <w:tblPr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68"/>
        <w:gridCol w:w="3260"/>
        <w:gridCol w:w="3828"/>
        <w:gridCol w:w="850"/>
        <w:gridCol w:w="851"/>
        <w:gridCol w:w="3260"/>
      </w:tblGrid>
      <w:tr w:rsidR="006848B6" w:rsidRPr="000C16A9" w:rsidTr="002735E9">
        <w:trPr>
          <w:trHeight w:val="600"/>
          <w:tblHeader/>
        </w:trPr>
        <w:tc>
          <w:tcPr>
            <w:tcW w:w="226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一级指标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三级指标（参考）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评价要点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A部门决策（15分）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A1决策机制（4分）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A11决策制度的规范性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决策制度规范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A12决策流程的科学性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决策流程科学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A13决策执行监督制衡机制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决策执行监督互相制衡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A2中长期规划（3分）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A21中长期规划明确性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中长期规划明确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A22中长期规划与部门职能的匹配性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中长期规划与部门职能匹配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A3年度工作计划（4分）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A31年度工作计划明确性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年度工作计划明确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A32年度工作计划与部门职能的匹配性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年度工作计划与部门职能匹配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A4部门预算编制（4分）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A41预算编制科学规范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预算编制科学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A42预算编制与重点工作任务的匹配性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预算编制与重点工作匹配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B部门管理（20分）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B1预算执行（5分）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B11部门预算执行率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执行率是否达标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B12“三公”经费控制率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“三公经费”是否超支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B13预决算信息公开情况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B2收支管理（3分）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B21收支管理制度健全性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收支管理制度健全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B22收支管理是否按制度执行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收支管理按制度执行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B3资产管理（2分）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B31资产管理制度健全性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资产管理制度健全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B32资产管理是否按制度执行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资产管理按制度执行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B4政府采购管理（2分）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B41政府采购管理制度健全性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政府采购管理制度健全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B42政府采购管理是否按制度执行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政府采购按制度执行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B5内部控制管理（6分）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B51内部控制建设情况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是否有内部控制制度落实在手册等文本上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B52内部控制执行情况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是否按制度执行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B53内部控制监督评价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A2450F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内控监督评价开展情况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B6预算绩效管理（2分）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B61组织管理情况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考察是否有预决算制度和岗位职责分配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B62工作开展情况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通过考察预算执行进度评价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C部门履职(部门职能履职情况)（3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C1加强建设工程社会保险费规范管理（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</w:t>
            </w:r>
            <w:r w:rsidR="00F8747A"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强化工资专户发放工资应用（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="00F8747A"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</w:t>
            </w:r>
            <w:r w:rsidR="00F874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优化工地现场工人考勤管理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6848B6" w:rsidRPr="006848B6" w:rsidRDefault="008E59FE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稳妥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推进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民工工资保证金管理工作（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D履职绩效（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D1经济效益（10分）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21A2F" w:rsidP="002735E9">
            <w:pP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21A2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依规办理建设工程社会保险费结算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D2社会效益（1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21A2F" w:rsidP="003B77E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21A2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保障施工人员工资权益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D67A4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D67A4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D3满意度（5分）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人民群众的满意度是否提升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12345工单满意度调查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6848B6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E可持续发展能力（5分）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E1信息化建设情况（2分）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办公流程、业务开展是否能通过单位的信息系统实现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通过单位的信息系统实现</w:t>
            </w:r>
          </w:p>
        </w:tc>
      </w:tr>
      <w:tr w:rsidR="006848B6" w:rsidRPr="000C16A9" w:rsidTr="002735E9">
        <w:trPr>
          <w:trHeight w:val="600"/>
        </w:trPr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E2人力资源建设情况（2分）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单位人才培养计划、人才选拔运用、激励措施等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人员调整、培训、数据等计划措施齐全</w:t>
            </w:r>
          </w:p>
        </w:tc>
      </w:tr>
      <w:tr w:rsidR="006848B6" w:rsidRPr="000C16A9" w:rsidTr="002735E9">
        <w:trPr>
          <w:trHeight w:val="1191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E3部门创新情况（1分）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6848B6" w:rsidRPr="001C52B0" w:rsidRDefault="001C52B0" w:rsidP="001C52B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助力企业纾困解难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落实工资保证金差异化存储政策，组织符合条件的企业申请减免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帮助企业纾困解难、缓解企业资金压力、更好助力企业复工复产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533FBE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848B6" w:rsidRPr="006848B6" w:rsidRDefault="006848B6" w:rsidP="006848B6">
            <w:pPr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F加减分项（≤5分）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F1加分项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848B6" w:rsidRPr="000C16A9" w:rsidTr="002735E9">
        <w:trPr>
          <w:trHeight w:val="923"/>
        </w:trPr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F2减分项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部门（单位）或工作人员违法违纪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酌情扣分</w:t>
            </w:r>
          </w:p>
        </w:tc>
      </w:tr>
    </w:tbl>
    <w:p w:rsidR="006848B6" w:rsidRDefault="006848B6" w:rsidP="006848B6"/>
    <w:p w:rsidR="006848B6" w:rsidRPr="00496BDA" w:rsidRDefault="006848B6" w:rsidP="006848B6">
      <w:pPr>
        <w:spacing w:line="300" w:lineRule="auto"/>
        <w:ind w:right="1280"/>
        <w:jc w:val="left"/>
        <w:rPr>
          <w:rFonts w:ascii="仿宋" w:eastAsia="仿宋" w:hAnsi="仿宋"/>
          <w:sz w:val="32"/>
          <w:szCs w:val="32"/>
        </w:rPr>
      </w:pPr>
    </w:p>
    <w:sectPr w:rsidR="006848B6" w:rsidRPr="00496BDA" w:rsidSect="009B6BB8">
      <w:type w:val="continuous"/>
      <w:pgSz w:w="16838" w:h="11906" w:orient="landscape" w:code="9"/>
      <w:pgMar w:top="1474" w:right="851" w:bottom="1247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9A" w:rsidRDefault="004B139A" w:rsidP="001A3475">
      <w:r>
        <w:separator/>
      </w:r>
    </w:p>
  </w:endnote>
  <w:endnote w:type="continuationSeparator" w:id="0">
    <w:p w:rsidR="004B139A" w:rsidRDefault="004B139A" w:rsidP="001A3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3758"/>
      <w:docPartObj>
        <w:docPartGallery w:val="Page Numbers (Bottom of Page)"/>
        <w:docPartUnique/>
      </w:docPartObj>
    </w:sdtPr>
    <w:sdtContent>
      <w:p w:rsidR="009E4177" w:rsidRDefault="00423796" w:rsidP="0026502F">
        <w:pPr>
          <w:pStyle w:val="a4"/>
          <w:jc w:val="center"/>
        </w:pPr>
        <w:r w:rsidRPr="009E41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E4177" w:rsidRPr="009E41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E41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16CB" w:rsidRPr="003A16CB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3A16CB">
          <w:rPr>
            <w:rFonts w:ascii="Times New Roman" w:hAnsi="Times New Roman" w:cs="Times New Roman"/>
            <w:noProof/>
            <w:sz w:val="28"/>
            <w:szCs w:val="28"/>
          </w:rPr>
          <w:t xml:space="preserve"> 7 -</w:t>
        </w:r>
        <w:r w:rsidRPr="009E41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8B6" w:rsidRDefault="006848B6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05030"/>
      <w:docPartObj>
        <w:docPartGallery w:val="Page Numbers (Bottom of Page)"/>
        <w:docPartUnique/>
      </w:docPartObj>
    </w:sdtPr>
    <w:sdtContent>
      <w:p w:rsidR="006848B6" w:rsidRDefault="006848B6" w:rsidP="00E914E0">
        <w:pPr>
          <w:pStyle w:val="a4"/>
          <w:ind w:firstLine="360"/>
          <w:jc w:val="center"/>
        </w:pPr>
        <w:r>
          <w:rPr>
            <w:rFonts w:hint="eastAsia"/>
          </w:rPr>
          <w:t>—</w:t>
        </w:r>
        <w:r w:rsidR="00423796" w:rsidRPr="004F50BB">
          <w:rPr>
            <w:sz w:val="28"/>
            <w:szCs w:val="28"/>
          </w:rPr>
          <w:fldChar w:fldCharType="begin"/>
        </w:r>
        <w:r w:rsidRPr="004F50BB">
          <w:rPr>
            <w:sz w:val="28"/>
            <w:szCs w:val="28"/>
          </w:rPr>
          <w:instrText xml:space="preserve"> PAGE   \* MERGEFORMAT </w:instrText>
        </w:r>
        <w:r w:rsidR="00423796" w:rsidRPr="004F50BB">
          <w:rPr>
            <w:sz w:val="28"/>
            <w:szCs w:val="28"/>
          </w:rPr>
          <w:fldChar w:fldCharType="separate"/>
        </w:r>
        <w:r w:rsidR="00586CD3" w:rsidRPr="00586CD3">
          <w:rPr>
            <w:noProof/>
            <w:sz w:val="28"/>
            <w:szCs w:val="28"/>
            <w:lang w:val="zh-CN"/>
          </w:rPr>
          <w:t>8</w:t>
        </w:r>
        <w:r w:rsidR="00423796" w:rsidRPr="004F50BB">
          <w:rPr>
            <w:sz w:val="28"/>
            <w:szCs w:val="28"/>
          </w:rPr>
          <w:fldChar w:fldCharType="end"/>
        </w:r>
        <w:r>
          <w:rPr>
            <w:rFonts w:hint="eastAsia"/>
          </w:rPr>
          <w:t>—</w:t>
        </w:r>
      </w:p>
    </w:sdtContent>
  </w:sdt>
  <w:p w:rsidR="006848B6" w:rsidRDefault="006848B6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8B6" w:rsidRDefault="006848B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9A" w:rsidRDefault="004B139A" w:rsidP="001A3475">
      <w:r>
        <w:separator/>
      </w:r>
    </w:p>
  </w:footnote>
  <w:footnote w:type="continuationSeparator" w:id="0">
    <w:p w:rsidR="004B139A" w:rsidRDefault="004B139A" w:rsidP="001A3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8B6" w:rsidRDefault="006848B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8B6" w:rsidRDefault="006848B6" w:rsidP="00E334C8">
    <w:pPr>
      <w:ind w:firstLine="5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8B6" w:rsidRDefault="006848B6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2F1A"/>
    <w:multiLevelType w:val="hybridMultilevel"/>
    <w:tmpl w:val="50B6B306"/>
    <w:lvl w:ilvl="0" w:tplc="2D36D6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B358D7"/>
    <w:multiLevelType w:val="hybridMultilevel"/>
    <w:tmpl w:val="400C5946"/>
    <w:lvl w:ilvl="0" w:tplc="91AE5B8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48F283F"/>
    <w:multiLevelType w:val="hybridMultilevel"/>
    <w:tmpl w:val="AC9EBF6E"/>
    <w:lvl w:ilvl="0" w:tplc="1074B50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475"/>
    <w:rsid w:val="00012B2C"/>
    <w:rsid w:val="000143EF"/>
    <w:rsid w:val="000242DB"/>
    <w:rsid w:val="000266D9"/>
    <w:rsid w:val="00026FC5"/>
    <w:rsid w:val="00060BBE"/>
    <w:rsid w:val="000E6395"/>
    <w:rsid w:val="001222E5"/>
    <w:rsid w:val="00140FE9"/>
    <w:rsid w:val="00154FF8"/>
    <w:rsid w:val="00170F49"/>
    <w:rsid w:val="00192CA2"/>
    <w:rsid w:val="001A3475"/>
    <w:rsid w:val="001A42D6"/>
    <w:rsid w:val="001C52B0"/>
    <w:rsid w:val="001D5D43"/>
    <w:rsid w:val="001E7C72"/>
    <w:rsid w:val="00212C65"/>
    <w:rsid w:val="0022098D"/>
    <w:rsid w:val="0026502F"/>
    <w:rsid w:val="00266DCC"/>
    <w:rsid w:val="002D6BD5"/>
    <w:rsid w:val="002F7880"/>
    <w:rsid w:val="00396019"/>
    <w:rsid w:val="003A16CB"/>
    <w:rsid w:val="003A6109"/>
    <w:rsid w:val="003B77E8"/>
    <w:rsid w:val="003D65C3"/>
    <w:rsid w:val="003E7C98"/>
    <w:rsid w:val="00423796"/>
    <w:rsid w:val="00435022"/>
    <w:rsid w:val="00483C0F"/>
    <w:rsid w:val="00496BDA"/>
    <w:rsid w:val="004B139A"/>
    <w:rsid w:val="00510E0F"/>
    <w:rsid w:val="00532AE9"/>
    <w:rsid w:val="005546EE"/>
    <w:rsid w:val="00556A1C"/>
    <w:rsid w:val="0056219B"/>
    <w:rsid w:val="00586CD3"/>
    <w:rsid w:val="00592E6E"/>
    <w:rsid w:val="005A0B00"/>
    <w:rsid w:val="005A43F5"/>
    <w:rsid w:val="005A4AFB"/>
    <w:rsid w:val="005A4FE5"/>
    <w:rsid w:val="005B2535"/>
    <w:rsid w:val="005D1A58"/>
    <w:rsid w:val="005D2DC9"/>
    <w:rsid w:val="006019F7"/>
    <w:rsid w:val="00621A2F"/>
    <w:rsid w:val="006236FE"/>
    <w:rsid w:val="00625232"/>
    <w:rsid w:val="0065131D"/>
    <w:rsid w:val="00657AF1"/>
    <w:rsid w:val="00662799"/>
    <w:rsid w:val="00672EEF"/>
    <w:rsid w:val="00682BC8"/>
    <w:rsid w:val="006848B6"/>
    <w:rsid w:val="00692E98"/>
    <w:rsid w:val="00704D15"/>
    <w:rsid w:val="00711780"/>
    <w:rsid w:val="007229EC"/>
    <w:rsid w:val="00722B2C"/>
    <w:rsid w:val="00734963"/>
    <w:rsid w:val="007526EC"/>
    <w:rsid w:val="007634A7"/>
    <w:rsid w:val="00764343"/>
    <w:rsid w:val="00776BAE"/>
    <w:rsid w:val="007C394A"/>
    <w:rsid w:val="007D24E9"/>
    <w:rsid w:val="007D7B0D"/>
    <w:rsid w:val="007F7CC7"/>
    <w:rsid w:val="0081361E"/>
    <w:rsid w:val="008177D6"/>
    <w:rsid w:val="008269D4"/>
    <w:rsid w:val="00845C92"/>
    <w:rsid w:val="008574F6"/>
    <w:rsid w:val="008635B1"/>
    <w:rsid w:val="008A7DE4"/>
    <w:rsid w:val="008C615A"/>
    <w:rsid w:val="008E59FE"/>
    <w:rsid w:val="008F0DA7"/>
    <w:rsid w:val="008F4330"/>
    <w:rsid w:val="009866E2"/>
    <w:rsid w:val="009A7D6C"/>
    <w:rsid w:val="009C5851"/>
    <w:rsid w:val="009D3237"/>
    <w:rsid w:val="009E4177"/>
    <w:rsid w:val="009E4F6A"/>
    <w:rsid w:val="00A05454"/>
    <w:rsid w:val="00A14AE1"/>
    <w:rsid w:val="00A2450F"/>
    <w:rsid w:val="00A93223"/>
    <w:rsid w:val="00AA292B"/>
    <w:rsid w:val="00AB16E9"/>
    <w:rsid w:val="00AC0854"/>
    <w:rsid w:val="00AF76CD"/>
    <w:rsid w:val="00B0468F"/>
    <w:rsid w:val="00B05105"/>
    <w:rsid w:val="00B10B6A"/>
    <w:rsid w:val="00B133EC"/>
    <w:rsid w:val="00B22050"/>
    <w:rsid w:val="00B2345D"/>
    <w:rsid w:val="00B6446B"/>
    <w:rsid w:val="00B96068"/>
    <w:rsid w:val="00BE0A61"/>
    <w:rsid w:val="00BF554F"/>
    <w:rsid w:val="00C0003F"/>
    <w:rsid w:val="00C03285"/>
    <w:rsid w:val="00C065B2"/>
    <w:rsid w:val="00C1773C"/>
    <w:rsid w:val="00C20F9B"/>
    <w:rsid w:val="00C37B35"/>
    <w:rsid w:val="00C41631"/>
    <w:rsid w:val="00C4291B"/>
    <w:rsid w:val="00C62C87"/>
    <w:rsid w:val="00C75B20"/>
    <w:rsid w:val="00CD0B9F"/>
    <w:rsid w:val="00CE0F38"/>
    <w:rsid w:val="00CE3140"/>
    <w:rsid w:val="00CF02DF"/>
    <w:rsid w:val="00D04521"/>
    <w:rsid w:val="00D56A1D"/>
    <w:rsid w:val="00D56DBE"/>
    <w:rsid w:val="00D657BC"/>
    <w:rsid w:val="00D67A46"/>
    <w:rsid w:val="00D74968"/>
    <w:rsid w:val="00D94B89"/>
    <w:rsid w:val="00DC4B61"/>
    <w:rsid w:val="00E02CBD"/>
    <w:rsid w:val="00E34333"/>
    <w:rsid w:val="00E7121B"/>
    <w:rsid w:val="00E84614"/>
    <w:rsid w:val="00E9626E"/>
    <w:rsid w:val="00ED740A"/>
    <w:rsid w:val="00EE5084"/>
    <w:rsid w:val="00F056A1"/>
    <w:rsid w:val="00F13802"/>
    <w:rsid w:val="00F41CA1"/>
    <w:rsid w:val="00F42060"/>
    <w:rsid w:val="00F5412C"/>
    <w:rsid w:val="00F673F8"/>
    <w:rsid w:val="00F75E45"/>
    <w:rsid w:val="00F82E0E"/>
    <w:rsid w:val="00F8747A"/>
    <w:rsid w:val="00F876A3"/>
    <w:rsid w:val="00F91CB7"/>
    <w:rsid w:val="00F96FF1"/>
    <w:rsid w:val="00FA41B1"/>
    <w:rsid w:val="00FD42B2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4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475"/>
    <w:rPr>
      <w:sz w:val="18"/>
      <w:szCs w:val="18"/>
    </w:rPr>
  </w:style>
  <w:style w:type="paragraph" w:styleId="a5">
    <w:name w:val="List Paragraph"/>
    <w:basedOn w:val="a"/>
    <w:uiPriority w:val="34"/>
    <w:qFormat/>
    <w:rsid w:val="00E7121B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848B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848B6"/>
  </w:style>
  <w:style w:type="paragraph" w:styleId="a7">
    <w:name w:val="Normal (Web)"/>
    <w:basedOn w:val="a"/>
    <w:uiPriority w:val="99"/>
    <w:unhideWhenUsed/>
    <w:qFormat/>
    <w:rsid w:val="006513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AE2AA-5C85-4B9D-9804-ECE15FC8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11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</dc:creator>
  <cp:keywords/>
  <dc:description/>
  <cp:lastModifiedBy>Administrator</cp:lastModifiedBy>
  <cp:revision>62</cp:revision>
  <cp:lastPrinted>2025-06-23T08:28:00Z</cp:lastPrinted>
  <dcterms:created xsi:type="dcterms:W3CDTF">2020-07-01T01:30:00Z</dcterms:created>
  <dcterms:modified xsi:type="dcterms:W3CDTF">2025-09-25T06:17:00Z</dcterms:modified>
</cp:coreProperties>
</file>