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3A07B3">
      <w:pPr>
        <w:widowControl/>
        <w:spacing w:line="300" w:lineRule="auto"/>
        <w:jc w:val="center"/>
        <w:rPr>
          <w:rFonts w:ascii="方正小标宋_GBK" w:hAnsi="方正小标宋_GBK" w:eastAsia="方正小标宋_GBK" w:cs="方正小标宋_GBK"/>
          <w:color w:val="000000"/>
          <w:kern w:val="0"/>
          <w:sz w:val="44"/>
          <w:szCs w:val="44"/>
        </w:rPr>
      </w:pPr>
      <w:r>
        <w:rPr>
          <w:rFonts w:hint="eastAsia" w:ascii="方正小标宋_GBK" w:hAnsi="方正小标宋_GBK" w:eastAsia="方正小标宋_GBK" w:cs="方正小标宋_GBK"/>
          <w:color w:val="000000"/>
          <w:kern w:val="0"/>
          <w:sz w:val="44"/>
          <w:szCs w:val="44"/>
        </w:rPr>
        <w:t>202</w:t>
      </w:r>
      <w:r>
        <w:rPr>
          <w:rFonts w:hint="eastAsia" w:cs="宋体" w:asciiTheme="majorEastAsia" w:hAnsiTheme="majorEastAsia" w:eastAsiaTheme="majorEastAsia"/>
          <w:b/>
          <w:color w:val="000000"/>
          <w:kern w:val="0"/>
          <w:sz w:val="44"/>
          <w:szCs w:val="44"/>
          <w:lang w:val="en-US" w:eastAsia="zh-CN"/>
        </w:rPr>
        <w:t>4</w:t>
      </w:r>
      <w:r>
        <w:rPr>
          <w:rFonts w:hint="eastAsia" w:ascii="方正小标宋_GBK" w:hAnsi="方正小标宋_GBK" w:eastAsia="方正小标宋_GBK" w:cs="方正小标宋_GBK"/>
          <w:color w:val="000000"/>
          <w:kern w:val="0"/>
          <w:sz w:val="44"/>
          <w:szCs w:val="44"/>
        </w:rPr>
        <w:t>年度南京市城乡建设委员会--南京市装饰行业发展中心（南京市装饰装修工程质量安全监督站）部门整体预算绩效自评价报告</w:t>
      </w:r>
    </w:p>
    <w:p w14:paraId="751BDCAB">
      <w:pPr>
        <w:widowControl/>
        <w:spacing w:line="620"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一、部门（单位）基本情况</w:t>
      </w:r>
    </w:p>
    <w:p w14:paraId="44E1E017">
      <w:pPr>
        <w:widowControl/>
        <w:spacing w:line="620" w:lineRule="exact"/>
        <w:ind w:firstLine="640" w:firstLineChars="200"/>
        <w:jc w:val="left"/>
        <w:rPr>
          <w:rFonts w:ascii="楷体" w:hAnsi="楷体" w:eastAsia="楷体" w:cs="楷体"/>
          <w:color w:val="000000"/>
          <w:kern w:val="0"/>
          <w:sz w:val="32"/>
          <w:szCs w:val="32"/>
        </w:rPr>
      </w:pPr>
      <w:r>
        <w:rPr>
          <w:rFonts w:hint="eastAsia" w:ascii="楷体" w:hAnsi="楷体" w:eastAsia="楷体" w:cs="楷体"/>
          <w:color w:val="000000"/>
          <w:kern w:val="0"/>
          <w:sz w:val="32"/>
          <w:szCs w:val="32"/>
        </w:rPr>
        <w:t>（一）部门（单位）概况</w:t>
      </w:r>
    </w:p>
    <w:p w14:paraId="2BD94FAE">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1.基本情况</w:t>
      </w:r>
    </w:p>
    <w:p w14:paraId="6DCFC3E7">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南京市装饰行业发展中心（南京市装饰装修工程质量安全监督站）为公益一类事业单位，经费管理方式为自收自支。</w:t>
      </w:r>
    </w:p>
    <w:p w14:paraId="40E59BC2">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2.人员情况</w:t>
      </w:r>
    </w:p>
    <w:p w14:paraId="3D9B7A89">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截止202</w:t>
      </w:r>
      <w:r>
        <w:rPr>
          <w:rFonts w:hint="eastAsia" w:ascii="仿宋" w:hAnsi="仿宋" w:eastAsia="仿宋" w:cs="仿宋"/>
          <w:color w:val="000000"/>
          <w:kern w:val="0"/>
          <w:sz w:val="32"/>
          <w:szCs w:val="32"/>
          <w:lang w:val="en-US" w:eastAsia="zh-CN"/>
        </w:rPr>
        <w:t>4</w:t>
      </w:r>
      <w:r>
        <w:rPr>
          <w:rFonts w:hint="eastAsia" w:ascii="仿宋" w:hAnsi="仿宋" w:eastAsia="仿宋" w:cs="仿宋"/>
          <w:color w:val="000000"/>
          <w:kern w:val="0"/>
          <w:sz w:val="32"/>
          <w:szCs w:val="32"/>
        </w:rPr>
        <w:t>年12月31日，装饰中心核定事业编制30人。在职实有2</w:t>
      </w:r>
      <w:r>
        <w:rPr>
          <w:rFonts w:hint="eastAsia" w:ascii="仿宋" w:hAnsi="仿宋" w:eastAsia="仿宋" w:cs="仿宋"/>
          <w:color w:val="000000"/>
          <w:kern w:val="0"/>
          <w:sz w:val="32"/>
          <w:szCs w:val="32"/>
          <w:lang w:val="en-US" w:eastAsia="zh-CN"/>
        </w:rPr>
        <w:t>8</w:t>
      </w:r>
      <w:r>
        <w:rPr>
          <w:rFonts w:hint="eastAsia" w:ascii="仿宋" w:hAnsi="仿宋" w:eastAsia="仿宋" w:cs="仿宋"/>
          <w:color w:val="000000"/>
          <w:kern w:val="0"/>
          <w:sz w:val="32"/>
          <w:szCs w:val="32"/>
        </w:rPr>
        <w:t>人，退休人员15人，公益性岗位人员8人。</w:t>
      </w:r>
    </w:p>
    <w:p w14:paraId="4282E99E">
      <w:pPr>
        <w:widowControl/>
        <w:spacing w:line="620" w:lineRule="exact"/>
        <w:ind w:firstLine="640" w:firstLineChars="200"/>
        <w:jc w:val="left"/>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3.部门职责</w:t>
      </w:r>
    </w:p>
    <w:p w14:paraId="44B88D63">
      <w:pPr>
        <w:widowControl/>
        <w:numPr>
          <w:ilvl w:val="0"/>
          <w:numId w:val="0"/>
        </w:numPr>
        <w:spacing w:line="620" w:lineRule="exact"/>
        <w:ind w:firstLine="640" w:firstLineChars="200"/>
        <w:jc w:val="left"/>
        <w:rPr>
          <w:rFonts w:ascii="仿宋" w:hAnsi="仿宋" w:eastAsia="仿宋" w:cs="仿宋"/>
          <w:i w:val="0"/>
          <w:iCs w:val="0"/>
          <w:caps w:val="0"/>
          <w:color w:val="000000"/>
          <w:spacing w:val="0"/>
          <w:sz w:val="30"/>
          <w:szCs w:val="30"/>
          <w:shd w:val="clear" w:fill="FFFFFF"/>
        </w:rPr>
      </w:pPr>
      <w:r>
        <w:rPr>
          <w:rFonts w:ascii="宋体" w:hAnsi="宋体" w:eastAsia="仿宋" w:cs="宋体"/>
          <w:color w:val="000000"/>
          <w:kern w:val="0"/>
          <w:sz w:val="32"/>
          <w:szCs w:val="28"/>
        </w:rPr>
        <w:t>研究拟定全市装饰装修行业发展规划并组织实施,规范管理全市装饰工程建设市场；承担装饰装修工程质量、施工许可、竣工验收备案工作；承担装饰装修单位和个人的资质、资格、安全生产许可证</w:t>
      </w:r>
      <w:bookmarkStart w:id="7" w:name="_GoBack"/>
      <w:bookmarkEnd w:id="7"/>
      <w:r>
        <w:rPr>
          <w:rFonts w:ascii="宋体" w:hAnsi="宋体" w:eastAsia="仿宋" w:cs="宋体"/>
          <w:color w:val="000000"/>
          <w:kern w:val="0"/>
          <w:sz w:val="32"/>
          <w:szCs w:val="28"/>
        </w:rPr>
        <w:t>及三类人员及信用等管理工作。</w:t>
      </w:r>
    </w:p>
    <w:p w14:paraId="1CDDD55E">
      <w:pPr>
        <w:widowControl/>
        <w:numPr>
          <w:ilvl w:val="0"/>
          <w:numId w:val="0"/>
        </w:numPr>
        <w:spacing w:line="620" w:lineRule="exact"/>
        <w:ind w:firstLine="640" w:firstLineChars="200"/>
        <w:jc w:val="left"/>
        <w:rPr>
          <w:rFonts w:hint="eastAsia" w:ascii="仿宋" w:hAnsi="仿宋" w:eastAsia="仿宋" w:cs="仿宋"/>
          <w:bCs/>
          <w:color w:val="000000"/>
          <w:kern w:val="0"/>
          <w:sz w:val="32"/>
          <w:szCs w:val="32"/>
        </w:rPr>
      </w:pPr>
      <w:r>
        <w:rPr>
          <w:rFonts w:hint="eastAsia" w:ascii="仿宋" w:hAnsi="仿宋" w:eastAsia="仿宋" w:cs="仿宋"/>
          <w:bCs/>
          <w:color w:val="000000"/>
          <w:kern w:val="0"/>
          <w:sz w:val="32"/>
          <w:szCs w:val="32"/>
          <w:lang w:val="en-US" w:eastAsia="zh-CN"/>
        </w:rPr>
        <w:t>4.</w:t>
      </w:r>
      <w:r>
        <w:rPr>
          <w:rFonts w:hint="eastAsia" w:ascii="仿宋" w:hAnsi="仿宋" w:eastAsia="仿宋" w:cs="仿宋"/>
          <w:bCs/>
          <w:color w:val="000000"/>
          <w:kern w:val="0"/>
          <w:sz w:val="32"/>
          <w:szCs w:val="32"/>
        </w:rPr>
        <w:t>资产情况</w:t>
      </w:r>
    </w:p>
    <w:p w14:paraId="2591C1D8">
      <w:pPr>
        <w:widowControl/>
        <w:numPr>
          <w:ilvl w:val="0"/>
          <w:numId w:val="0"/>
        </w:numPr>
        <w:spacing w:line="620" w:lineRule="exact"/>
        <w:ind w:firstLine="640" w:firstLineChars="200"/>
        <w:jc w:val="left"/>
        <w:rPr>
          <w:rFonts w:hint="eastAsia" w:ascii="仿宋" w:hAnsi="仿宋" w:eastAsia="仿宋" w:cs="仿宋"/>
          <w:bCs/>
          <w:color w:val="000000"/>
          <w:kern w:val="0"/>
          <w:sz w:val="32"/>
          <w:szCs w:val="32"/>
        </w:rPr>
      </w:pPr>
      <w:r>
        <w:rPr>
          <w:rFonts w:hint="eastAsia" w:ascii="仿宋" w:hAnsi="仿宋" w:eastAsia="仿宋" w:cs="仿宋"/>
          <w:color w:val="000000"/>
          <w:kern w:val="0"/>
          <w:sz w:val="32"/>
          <w:szCs w:val="32"/>
        </w:rPr>
        <w:t>截止202</w:t>
      </w:r>
      <w:r>
        <w:rPr>
          <w:rFonts w:hint="eastAsia" w:ascii="仿宋" w:hAnsi="仿宋" w:eastAsia="仿宋" w:cs="仿宋"/>
          <w:color w:val="000000"/>
          <w:kern w:val="0"/>
          <w:sz w:val="32"/>
          <w:szCs w:val="32"/>
          <w:lang w:val="en-US" w:eastAsia="zh-CN"/>
        </w:rPr>
        <w:t>4</w:t>
      </w:r>
      <w:r>
        <w:rPr>
          <w:rFonts w:hint="eastAsia" w:ascii="仿宋" w:hAnsi="仿宋" w:eastAsia="仿宋" w:cs="仿宋"/>
          <w:color w:val="000000"/>
          <w:kern w:val="0"/>
          <w:sz w:val="32"/>
          <w:szCs w:val="32"/>
        </w:rPr>
        <w:t>年12月31日，本单位资产总计</w:t>
      </w:r>
      <w:r>
        <w:rPr>
          <w:rFonts w:hint="eastAsia" w:ascii="仿宋" w:hAnsi="仿宋" w:eastAsia="仿宋"/>
          <w:color w:val="000000"/>
          <w:sz w:val="32"/>
          <w:szCs w:val="32"/>
          <w:lang w:val="en-US" w:eastAsia="zh-CN"/>
        </w:rPr>
        <w:t>1982.08</w:t>
      </w:r>
      <w:r>
        <w:rPr>
          <w:rFonts w:hint="eastAsia" w:ascii="仿宋" w:hAnsi="仿宋" w:eastAsia="仿宋" w:cs="仿宋"/>
          <w:color w:val="000000"/>
          <w:kern w:val="0"/>
          <w:sz w:val="32"/>
          <w:szCs w:val="32"/>
        </w:rPr>
        <w:t>万元，负债总计</w:t>
      </w:r>
      <w:r>
        <w:rPr>
          <w:rFonts w:hint="eastAsia" w:ascii="仿宋" w:hAnsi="仿宋" w:eastAsia="仿宋"/>
          <w:color w:val="000000"/>
          <w:sz w:val="32"/>
          <w:szCs w:val="32"/>
          <w:lang w:val="en-US" w:eastAsia="zh-CN"/>
        </w:rPr>
        <w:t>1808.72</w:t>
      </w:r>
      <w:r>
        <w:rPr>
          <w:rFonts w:hint="eastAsia" w:ascii="仿宋" w:hAnsi="仿宋" w:eastAsia="仿宋" w:cs="仿宋"/>
          <w:color w:val="000000"/>
          <w:kern w:val="0"/>
          <w:sz w:val="32"/>
          <w:szCs w:val="32"/>
        </w:rPr>
        <w:t>万元，净资产总计</w:t>
      </w:r>
      <w:r>
        <w:rPr>
          <w:rFonts w:hint="eastAsia" w:ascii="仿宋" w:hAnsi="仿宋" w:eastAsia="仿宋" w:cs="宋体"/>
          <w:color w:val="000000"/>
          <w:kern w:val="0"/>
          <w:sz w:val="32"/>
          <w:szCs w:val="32"/>
          <w:lang w:val="en-US" w:eastAsia="zh-CN"/>
        </w:rPr>
        <w:t>173.36</w:t>
      </w:r>
      <w:r>
        <w:rPr>
          <w:rFonts w:hint="eastAsia" w:ascii="仿宋" w:hAnsi="仿宋" w:eastAsia="仿宋" w:cs="仿宋"/>
          <w:color w:val="000000"/>
          <w:kern w:val="0"/>
          <w:sz w:val="32"/>
          <w:szCs w:val="32"/>
        </w:rPr>
        <w:t>万元，账实一致。</w:t>
      </w:r>
    </w:p>
    <w:p w14:paraId="0215AA56">
      <w:pPr>
        <w:widowControl/>
        <w:spacing w:line="620" w:lineRule="exact"/>
        <w:ind w:firstLine="640" w:firstLineChars="200"/>
        <w:jc w:val="left"/>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5.重点工作任务</w:t>
      </w:r>
    </w:p>
    <w:p w14:paraId="49447E82">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1）做好装饰企业管理有关工作。根据部、省市有关建筑业资质管理的文件精神及时调整工作思路，完成建筑业资质日常管理工作。定期走访装饰企业，加强企业资质动态监管。及时调整、完善信用评分细则，强化信息采集、审核、发布及使用的管理，不断规范信用评价工作。</w:t>
      </w:r>
    </w:p>
    <w:p w14:paraId="1A4587C3">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（2）加强装饰市场管理有关工作。加大市场巡查力度，逐步提高装饰工程施工许可办理覆盖面；以工程项目为载体，加大对进宁承接业务的外地企业的监管力度。</w:t>
      </w:r>
    </w:p>
    <w:p w14:paraId="7859507C">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3）强化工程质量安全监督力度。加大对受监工程建设各方责任主体履行质量职责情况和工程实体质量情况监督检查，做好工程质量竣工验收活动的监督检查工作，提高监督人员的业务水平。持续开展安全生产专项整治行动，督促落实参建各方主体责任，严格危大工程监管，突出强化日常监管重点，强化监管执法力度，优化施工安全信息化管理，提升监管人员执法水平，保障在建工程安全生产形势持续稳定。</w:t>
      </w:r>
    </w:p>
    <w:p w14:paraId="72B8B02B">
      <w:pPr>
        <w:spacing w:line="620" w:lineRule="exact"/>
        <w:ind w:firstLine="480" w:firstLineChars="150"/>
        <w:rPr>
          <w:rFonts w:ascii="仿宋" w:hAnsi="仿宋" w:eastAsia="仿宋" w:cs="仿宋"/>
          <w:color w:val="000000"/>
          <w:kern w:val="0"/>
          <w:sz w:val="32"/>
          <w:szCs w:val="32"/>
        </w:rPr>
      </w:pPr>
      <w:r>
        <w:rPr>
          <w:rFonts w:hint="eastAsia" w:ascii="仿宋" w:hAnsi="仿宋" w:eastAsia="仿宋" w:cs="仿宋"/>
          <w:color w:val="000000"/>
          <w:kern w:val="0"/>
          <w:sz w:val="32"/>
          <w:szCs w:val="32"/>
        </w:rPr>
        <w:t>（4）做好行政执法工作。开展建筑装饰工程“双随机”检查。全面落实五方主体项目负责人质量终身责任制，严厉整治责任主体工程质量、安全施工违法违规行为。</w:t>
      </w:r>
    </w:p>
    <w:p w14:paraId="1A0892BE">
      <w:pPr>
        <w:spacing w:line="620" w:lineRule="exact"/>
        <w:ind w:firstLine="480" w:firstLineChars="150"/>
        <w:rPr>
          <w:rFonts w:ascii="仿宋" w:hAnsi="仿宋" w:eastAsia="仿宋" w:cs="仿宋"/>
          <w:color w:val="000000"/>
          <w:kern w:val="0"/>
          <w:sz w:val="32"/>
          <w:szCs w:val="32"/>
        </w:rPr>
      </w:pPr>
      <w:r>
        <w:rPr>
          <w:rFonts w:hint="eastAsia" w:ascii="仿宋" w:hAnsi="仿宋" w:eastAsia="仿宋" w:cs="仿宋"/>
          <w:color w:val="000000"/>
          <w:kern w:val="0"/>
          <w:sz w:val="32"/>
          <w:szCs w:val="32"/>
        </w:rPr>
        <w:t>（5）做好信访投诉和“双清”工作。对本年度12345工单、投诉信访集中问题进行归纳梳理，总结经验方法，提炼化解路径，查处各类清欠行为及投诉案件。</w:t>
      </w:r>
    </w:p>
    <w:p w14:paraId="2674EC44">
      <w:pPr>
        <w:widowControl/>
        <w:spacing w:line="620" w:lineRule="exact"/>
        <w:ind w:firstLine="640" w:firstLineChars="200"/>
        <w:jc w:val="left"/>
        <w:rPr>
          <w:rFonts w:ascii="楷体" w:hAnsi="楷体" w:eastAsia="楷体" w:cs="楷体"/>
          <w:color w:val="000000"/>
          <w:kern w:val="0"/>
          <w:sz w:val="32"/>
          <w:szCs w:val="32"/>
        </w:rPr>
      </w:pPr>
      <w:r>
        <w:rPr>
          <w:rFonts w:hint="eastAsia" w:ascii="楷体" w:hAnsi="楷体" w:eastAsia="楷体" w:cs="楷体"/>
          <w:color w:val="000000"/>
          <w:kern w:val="0"/>
          <w:sz w:val="32"/>
          <w:szCs w:val="32"/>
        </w:rPr>
        <w:t>（二）部门（单位）资金情况</w:t>
      </w:r>
    </w:p>
    <w:p w14:paraId="0C864FF1">
      <w:pPr>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南京市装饰行业发展中心（南京市装饰装修工程质量安全监督站）202</w:t>
      </w:r>
      <w:r>
        <w:rPr>
          <w:rFonts w:hint="eastAsia" w:ascii="仿宋" w:hAnsi="仿宋" w:eastAsia="仿宋" w:cs="仿宋"/>
          <w:color w:val="000000"/>
          <w:kern w:val="0"/>
          <w:sz w:val="32"/>
          <w:szCs w:val="32"/>
          <w:lang w:val="en-US" w:eastAsia="zh-CN"/>
        </w:rPr>
        <w:t>4</w:t>
      </w:r>
      <w:r>
        <w:rPr>
          <w:rFonts w:hint="eastAsia" w:ascii="仿宋" w:hAnsi="仿宋" w:eastAsia="仿宋" w:cs="仿宋"/>
          <w:color w:val="000000"/>
          <w:kern w:val="0"/>
          <w:sz w:val="32"/>
          <w:szCs w:val="32"/>
        </w:rPr>
        <w:t>年度收入合计</w:t>
      </w:r>
      <w:r>
        <w:rPr>
          <w:rFonts w:hint="eastAsia" w:ascii="仿宋" w:hAnsi="仿宋" w:eastAsia="仿宋" w:cs="Times New Roman"/>
          <w:sz w:val="32"/>
          <w:szCs w:val="32"/>
          <w:lang w:val="en-US" w:eastAsia="zh-CN"/>
        </w:rPr>
        <w:t>878.55</w:t>
      </w:r>
      <w:r>
        <w:rPr>
          <w:rFonts w:hint="eastAsia" w:ascii="仿宋" w:hAnsi="仿宋" w:eastAsia="仿宋" w:cs="仿宋"/>
          <w:color w:val="000000"/>
          <w:kern w:val="0"/>
          <w:sz w:val="32"/>
          <w:szCs w:val="32"/>
        </w:rPr>
        <w:t>万元，其中：财政拨款收入</w:t>
      </w:r>
      <w:r>
        <w:rPr>
          <w:rFonts w:hint="eastAsia" w:ascii="仿宋" w:hAnsi="仿宋" w:eastAsia="仿宋" w:cs="Times New Roman"/>
          <w:sz w:val="32"/>
          <w:szCs w:val="32"/>
          <w:lang w:val="en-US" w:eastAsia="zh-CN"/>
        </w:rPr>
        <w:t>878.55</w:t>
      </w:r>
      <w:r>
        <w:rPr>
          <w:rFonts w:hint="eastAsia" w:ascii="仿宋" w:hAnsi="仿宋" w:eastAsia="仿宋" w:cs="仿宋"/>
          <w:color w:val="000000"/>
          <w:kern w:val="0"/>
          <w:sz w:val="32"/>
          <w:szCs w:val="32"/>
        </w:rPr>
        <w:t>万元，占100%。</w:t>
      </w:r>
    </w:p>
    <w:p w14:paraId="060AC0EF">
      <w:pPr>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南京市装饰行业发展中心（南京市装饰装修工程质量安全监督站）202</w:t>
      </w:r>
      <w:r>
        <w:rPr>
          <w:rFonts w:hint="eastAsia" w:ascii="仿宋" w:hAnsi="仿宋" w:eastAsia="仿宋" w:cs="仿宋"/>
          <w:color w:val="000000"/>
          <w:kern w:val="0"/>
          <w:sz w:val="32"/>
          <w:szCs w:val="32"/>
          <w:lang w:val="en-US" w:eastAsia="zh-CN"/>
        </w:rPr>
        <w:t>4</w:t>
      </w:r>
      <w:r>
        <w:rPr>
          <w:rFonts w:hint="eastAsia" w:ascii="仿宋" w:hAnsi="仿宋" w:eastAsia="仿宋" w:cs="仿宋"/>
          <w:color w:val="000000"/>
          <w:kern w:val="0"/>
          <w:sz w:val="32"/>
          <w:szCs w:val="32"/>
        </w:rPr>
        <w:t>年度支出合计</w:t>
      </w:r>
      <w:r>
        <w:rPr>
          <w:rFonts w:hint="eastAsia" w:ascii="仿宋" w:hAnsi="仿宋" w:eastAsia="仿宋" w:cs="仿宋"/>
          <w:color w:val="000000"/>
          <w:kern w:val="0"/>
          <w:sz w:val="32"/>
          <w:szCs w:val="32"/>
          <w:lang w:val="en-US" w:eastAsia="zh-CN"/>
        </w:rPr>
        <w:t>878.55</w:t>
      </w:r>
      <w:r>
        <w:rPr>
          <w:rFonts w:hint="eastAsia" w:ascii="仿宋" w:hAnsi="仿宋" w:eastAsia="仿宋" w:cs="仿宋"/>
          <w:color w:val="000000"/>
          <w:kern w:val="0"/>
          <w:sz w:val="32"/>
          <w:szCs w:val="32"/>
        </w:rPr>
        <w:t>万元，其中：基本支出</w:t>
      </w:r>
      <w:r>
        <w:rPr>
          <w:rFonts w:hint="eastAsia" w:ascii="仿宋" w:hAnsi="仿宋" w:eastAsia="仿宋" w:cs="仿宋"/>
          <w:color w:val="000000"/>
          <w:kern w:val="0"/>
          <w:sz w:val="32"/>
          <w:szCs w:val="32"/>
          <w:lang w:val="en-US" w:eastAsia="zh-CN"/>
        </w:rPr>
        <w:t>860.77</w:t>
      </w:r>
      <w:r>
        <w:rPr>
          <w:rFonts w:hint="eastAsia" w:ascii="仿宋" w:hAnsi="仿宋" w:eastAsia="仿宋" w:cs="仿宋"/>
          <w:color w:val="000000"/>
          <w:kern w:val="0"/>
          <w:sz w:val="32"/>
          <w:szCs w:val="32"/>
        </w:rPr>
        <w:t>万元，占97.</w:t>
      </w:r>
      <w:r>
        <w:rPr>
          <w:rFonts w:hint="eastAsia" w:ascii="仿宋" w:hAnsi="仿宋" w:eastAsia="仿宋" w:cs="仿宋"/>
          <w:color w:val="000000"/>
          <w:kern w:val="0"/>
          <w:sz w:val="32"/>
          <w:szCs w:val="32"/>
          <w:lang w:val="en-US" w:eastAsia="zh-CN"/>
        </w:rPr>
        <w:t>98</w:t>
      </w:r>
      <w:r>
        <w:rPr>
          <w:rFonts w:hint="eastAsia" w:ascii="仿宋" w:hAnsi="仿宋" w:eastAsia="仿宋" w:cs="仿宋"/>
          <w:color w:val="000000"/>
          <w:kern w:val="0"/>
          <w:sz w:val="32"/>
          <w:szCs w:val="32"/>
        </w:rPr>
        <w:t>%；项目支出</w:t>
      </w:r>
      <w:r>
        <w:rPr>
          <w:rFonts w:hint="eastAsia" w:ascii="仿宋" w:hAnsi="仿宋" w:eastAsia="仿宋" w:cs="仿宋"/>
          <w:color w:val="000000"/>
          <w:kern w:val="0"/>
          <w:sz w:val="32"/>
          <w:szCs w:val="32"/>
          <w:lang w:val="en-US" w:eastAsia="zh-CN"/>
        </w:rPr>
        <w:t>17.78</w:t>
      </w:r>
      <w:r>
        <w:rPr>
          <w:rFonts w:hint="eastAsia" w:ascii="仿宋" w:hAnsi="仿宋" w:eastAsia="仿宋" w:cs="仿宋"/>
          <w:color w:val="000000"/>
          <w:kern w:val="0"/>
          <w:sz w:val="32"/>
          <w:szCs w:val="32"/>
        </w:rPr>
        <w:t>万元，占2.</w:t>
      </w:r>
      <w:r>
        <w:rPr>
          <w:rFonts w:hint="eastAsia" w:ascii="仿宋" w:hAnsi="仿宋" w:eastAsia="仿宋" w:cs="仿宋"/>
          <w:color w:val="000000"/>
          <w:kern w:val="0"/>
          <w:sz w:val="32"/>
          <w:szCs w:val="32"/>
          <w:lang w:val="en-US" w:eastAsia="zh-CN"/>
        </w:rPr>
        <w:t>02</w:t>
      </w:r>
      <w:r>
        <w:rPr>
          <w:rFonts w:hint="eastAsia" w:ascii="仿宋" w:hAnsi="仿宋" w:eastAsia="仿宋" w:cs="仿宋"/>
          <w:color w:val="000000"/>
          <w:kern w:val="0"/>
          <w:sz w:val="32"/>
          <w:szCs w:val="32"/>
        </w:rPr>
        <w:t>%。</w:t>
      </w:r>
    </w:p>
    <w:p w14:paraId="4003C20C">
      <w:pPr>
        <w:widowControl/>
        <w:spacing w:line="620" w:lineRule="exact"/>
        <w:ind w:firstLine="640" w:firstLineChars="200"/>
        <w:jc w:val="left"/>
        <w:rPr>
          <w:rFonts w:ascii="楷体" w:hAnsi="楷体" w:eastAsia="楷体" w:cs="楷体"/>
          <w:color w:val="000000"/>
          <w:kern w:val="0"/>
          <w:sz w:val="32"/>
          <w:szCs w:val="32"/>
        </w:rPr>
      </w:pPr>
      <w:r>
        <w:rPr>
          <w:rFonts w:hint="eastAsia" w:ascii="楷体" w:hAnsi="楷体" w:eastAsia="楷体" w:cs="楷体"/>
          <w:color w:val="000000"/>
          <w:kern w:val="0"/>
          <w:sz w:val="32"/>
          <w:szCs w:val="32"/>
        </w:rPr>
        <w:t>（三）部门（单位）绩效目标</w:t>
      </w:r>
    </w:p>
    <w:p w14:paraId="4C873513">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做好装饰企业资质管理工作、装饰企业信用评价工作、加强装饰市场管理有关工作、强化工程质量监督力度、强化安全监管工作；加大装饰市场执法力度；落实社会治安综合治理责任，加强安全保密和稳定工作；加强党风廉政建设、作风建设、组织建设等党建工作；坚持落实理论学习制度，积极参加各类学习,积极进行正面宣传。</w:t>
      </w:r>
    </w:p>
    <w:p w14:paraId="2824F474">
      <w:pPr>
        <w:widowControl/>
        <w:spacing w:line="620" w:lineRule="exact"/>
        <w:ind w:firstLine="640" w:firstLineChars="200"/>
        <w:jc w:val="left"/>
        <w:rPr>
          <w:rFonts w:ascii="黑体" w:hAnsi="黑体" w:eastAsia="黑体" w:cs="黑体"/>
          <w:color w:val="000000"/>
          <w:kern w:val="0"/>
          <w:sz w:val="32"/>
          <w:szCs w:val="32"/>
        </w:rPr>
      </w:pPr>
      <w:r>
        <w:rPr>
          <w:rFonts w:hint="eastAsia" w:ascii="黑体" w:hAnsi="黑体" w:eastAsia="黑体" w:cs="黑体"/>
          <w:color w:val="000000"/>
          <w:kern w:val="0"/>
          <w:sz w:val="32"/>
          <w:szCs w:val="32"/>
        </w:rPr>
        <w:t>二、评价结论</w:t>
      </w:r>
    </w:p>
    <w:p w14:paraId="51B6EE4B">
      <w:pPr>
        <w:widowControl/>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本次绩效评价依据市财政局《南京市市级预算绩效管理工作计划》的相关规定，结合单位年度工作计划、财务账表数据、部门履职情况，整理数据、分析汇总，对我单位整体绩效进行严格认真地评价。绩效综合评分9</w:t>
      </w:r>
      <w:r>
        <w:rPr>
          <w:rFonts w:hint="eastAsia" w:ascii="仿宋" w:hAnsi="仿宋" w:eastAsia="仿宋" w:cs="仿宋"/>
          <w:color w:val="000000"/>
          <w:kern w:val="0"/>
          <w:sz w:val="32"/>
          <w:szCs w:val="32"/>
          <w:lang w:val="en-US" w:eastAsia="zh-CN"/>
        </w:rPr>
        <w:t>7</w:t>
      </w:r>
      <w:r>
        <w:rPr>
          <w:rFonts w:hint="eastAsia" w:ascii="仿宋" w:hAnsi="仿宋" w:eastAsia="仿宋" w:cs="仿宋"/>
          <w:color w:val="000000"/>
          <w:kern w:val="0"/>
          <w:sz w:val="32"/>
          <w:szCs w:val="32"/>
        </w:rPr>
        <w:t>分，等级为“优秀”。</w:t>
      </w:r>
    </w:p>
    <w:p w14:paraId="674B9951">
      <w:pPr>
        <w:widowControl/>
        <w:spacing w:line="620"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三、部门（单位）履职成效</w:t>
      </w:r>
    </w:p>
    <w:p w14:paraId="3FE90B2D">
      <w:pPr>
        <w:widowControl/>
        <w:spacing w:line="620" w:lineRule="exact"/>
        <w:ind w:firstLine="640" w:firstLineChars="200"/>
        <w:jc w:val="left"/>
        <w:rPr>
          <w:rFonts w:hint="eastAsia" w:ascii="楷体" w:hAnsi="楷体" w:eastAsia="楷体" w:cs="楷体"/>
          <w:color w:val="000000"/>
          <w:kern w:val="0"/>
          <w:sz w:val="32"/>
          <w:szCs w:val="32"/>
        </w:rPr>
      </w:pPr>
      <w:r>
        <w:rPr>
          <w:rFonts w:hint="eastAsia" w:ascii="楷体" w:hAnsi="楷体" w:eastAsia="楷体" w:cs="楷体"/>
          <w:color w:val="000000"/>
          <w:kern w:val="0"/>
          <w:sz w:val="32"/>
          <w:szCs w:val="32"/>
        </w:rPr>
        <w:t>（一）年度工作（任务）目标完成</w:t>
      </w:r>
    </w:p>
    <w:p w14:paraId="4E8553AE">
      <w:pPr>
        <w:spacing w:line="560" w:lineRule="exact"/>
        <w:ind w:firstLine="640" w:firstLineChars="200"/>
        <w:rPr>
          <w:rFonts w:hint="eastAsia" w:ascii="仿宋" w:hAnsi="仿宋" w:eastAsia="仿宋" w:cs="Times New Roman"/>
          <w:sz w:val="32"/>
          <w:szCs w:val="32"/>
        </w:rPr>
      </w:pPr>
      <w:r>
        <w:rPr>
          <w:rFonts w:hint="eastAsia" w:ascii="仿宋" w:hAnsi="仿宋" w:eastAsia="仿宋" w:cs="Times New Roman"/>
          <w:sz w:val="32"/>
          <w:szCs w:val="32"/>
        </w:rPr>
        <w:t>1、做好企业服务工作</w:t>
      </w:r>
    </w:p>
    <w:p w14:paraId="58705A82">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default" w:ascii="Times New Roman" w:hAnsi="Times New Roman" w:eastAsia="仿宋" w:cs="Times New Roman"/>
          <w:sz w:val="32"/>
          <w:szCs w:val="32"/>
          <w:lang w:val="en-US" w:eastAsia="zh-CN"/>
        </w:rPr>
      </w:pPr>
      <w:bookmarkStart w:id="0" w:name="OLE_LINK14"/>
      <w:r>
        <w:rPr>
          <w:rFonts w:hint="default" w:ascii="Times New Roman" w:hAnsi="Times New Roman" w:eastAsia="仿宋" w:cs="Times New Roman"/>
          <w:sz w:val="32"/>
          <w:szCs w:val="32"/>
          <w:lang w:val="en-US" w:eastAsia="zh-CN"/>
        </w:rPr>
        <w:t>审核上报施工劳务企业资质</w:t>
      </w:r>
      <w:r>
        <w:rPr>
          <w:rFonts w:hint="eastAsia" w:ascii="Times New Roman" w:hAnsi="Times New Roman" w:eastAsia="仿宋" w:cs="Times New Roman"/>
          <w:sz w:val="32"/>
          <w:szCs w:val="32"/>
          <w:lang w:val="en-US" w:eastAsia="zh-CN"/>
        </w:rPr>
        <w:t>39</w:t>
      </w:r>
      <w:r>
        <w:rPr>
          <w:rFonts w:hint="default" w:ascii="Times New Roman" w:hAnsi="Times New Roman" w:eastAsia="仿宋" w:cs="Times New Roman"/>
          <w:sz w:val="32"/>
          <w:szCs w:val="32"/>
          <w:lang w:val="en-US" w:eastAsia="zh-CN"/>
        </w:rPr>
        <w:t>家、现场核查申请省级许可资质证书延续企业</w:t>
      </w:r>
      <w:r>
        <w:rPr>
          <w:rFonts w:hint="eastAsia" w:ascii="Times New Roman" w:hAnsi="Times New Roman" w:eastAsia="仿宋" w:cs="Times New Roman"/>
          <w:sz w:val="32"/>
          <w:szCs w:val="32"/>
          <w:lang w:val="en-US" w:eastAsia="zh-CN"/>
        </w:rPr>
        <w:t>250</w:t>
      </w:r>
      <w:r>
        <w:rPr>
          <w:rFonts w:hint="default" w:ascii="Times New Roman" w:hAnsi="Times New Roman" w:eastAsia="仿宋" w:cs="Times New Roman"/>
          <w:sz w:val="32"/>
          <w:szCs w:val="32"/>
          <w:lang w:val="en-US" w:eastAsia="zh-CN"/>
        </w:rPr>
        <w:t>家</w:t>
      </w:r>
      <w:r>
        <w:rPr>
          <w:rFonts w:hint="eastAsia" w:ascii="Times New Roman" w:hAnsi="Times New Roman" w:eastAsia="仿宋" w:cs="Times New Roman"/>
          <w:sz w:val="32"/>
          <w:szCs w:val="32"/>
          <w:lang w:val="en-US" w:eastAsia="zh-CN"/>
        </w:rPr>
        <w:t>，市级许可延续125家</w:t>
      </w:r>
      <w:r>
        <w:rPr>
          <w:rFonts w:hint="default" w:ascii="Times New Roman" w:hAnsi="Times New Roman" w:eastAsia="仿宋" w:cs="Times New Roman"/>
          <w:sz w:val="32"/>
          <w:szCs w:val="32"/>
        </w:rPr>
        <w:t>；办理资质信</w:t>
      </w:r>
      <w:r>
        <w:rPr>
          <w:rFonts w:hint="default" w:ascii="Times New Roman" w:hAnsi="Times New Roman" w:eastAsia="仿宋" w:cs="Times New Roman"/>
          <w:sz w:val="32"/>
          <w:szCs w:val="32"/>
          <w:lang w:val="en-US" w:eastAsia="zh-CN"/>
        </w:rPr>
        <w:t>息变更手续</w:t>
      </w:r>
      <w:r>
        <w:rPr>
          <w:rFonts w:hint="eastAsia" w:ascii="Times New Roman" w:hAnsi="Times New Roman" w:eastAsia="仿宋" w:cs="Times New Roman"/>
          <w:sz w:val="32"/>
          <w:szCs w:val="32"/>
          <w:lang w:val="en-US" w:eastAsia="zh-CN"/>
        </w:rPr>
        <w:t>180</w:t>
      </w:r>
      <w:r>
        <w:rPr>
          <w:rFonts w:hint="default" w:ascii="Times New Roman" w:hAnsi="Times New Roman" w:eastAsia="仿宋" w:cs="Times New Roman"/>
          <w:sz w:val="32"/>
          <w:szCs w:val="32"/>
          <w:lang w:val="en-US" w:eastAsia="zh-CN"/>
        </w:rPr>
        <w:t>起。办理</w:t>
      </w:r>
      <w:r>
        <w:rPr>
          <w:rFonts w:hint="eastAsia" w:ascii="Times New Roman" w:hAnsi="Times New Roman" w:eastAsia="仿宋" w:cs="Times New Roman"/>
          <w:sz w:val="32"/>
          <w:szCs w:val="32"/>
          <w:lang w:val="en-US" w:eastAsia="zh-CN"/>
        </w:rPr>
        <w:t>企业注册</w:t>
      </w:r>
      <w:r>
        <w:rPr>
          <w:rFonts w:hint="default" w:ascii="Times New Roman" w:hAnsi="Times New Roman" w:eastAsia="仿宋" w:cs="Times New Roman"/>
          <w:sz w:val="32"/>
          <w:szCs w:val="32"/>
          <w:lang w:val="en-US" w:eastAsia="zh-CN"/>
        </w:rPr>
        <w:t>人员</w:t>
      </w:r>
      <w:r>
        <w:rPr>
          <w:rFonts w:hint="eastAsia" w:ascii="Times New Roman" w:hAnsi="Times New Roman" w:eastAsia="仿宋" w:cs="Times New Roman"/>
          <w:sz w:val="32"/>
          <w:szCs w:val="32"/>
          <w:lang w:val="en-US" w:eastAsia="zh-CN"/>
        </w:rPr>
        <w:t>、职称人员等</w:t>
      </w:r>
      <w:r>
        <w:rPr>
          <w:rFonts w:hint="default" w:ascii="Times New Roman" w:hAnsi="Times New Roman" w:eastAsia="仿宋" w:cs="Times New Roman"/>
          <w:sz w:val="32"/>
          <w:szCs w:val="32"/>
          <w:lang w:val="en-US" w:eastAsia="zh-CN"/>
        </w:rPr>
        <w:t>录入</w:t>
      </w:r>
      <w:r>
        <w:rPr>
          <w:rFonts w:hint="eastAsia" w:ascii="Times New Roman" w:hAnsi="Times New Roman" w:eastAsia="仿宋" w:cs="Times New Roman"/>
          <w:sz w:val="32"/>
          <w:szCs w:val="32"/>
          <w:lang w:val="en-US" w:eastAsia="zh-CN"/>
        </w:rPr>
        <w:t>1500余</w:t>
      </w:r>
      <w:r>
        <w:rPr>
          <w:rFonts w:hint="default" w:ascii="Times New Roman" w:hAnsi="Times New Roman" w:eastAsia="仿宋" w:cs="Times New Roman"/>
          <w:sz w:val="32"/>
          <w:szCs w:val="32"/>
          <w:lang w:val="en-US" w:eastAsia="zh-CN"/>
        </w:rPr>
        <w:t>人次</w:t>
      </w:r>
      <w:r>
        <w:rPr>
          <w:rFonts w:hint="eastAsia" w:ascii="Times New Roman" w:hAnsi="Times New Roman" w:eastAsia="仿宋" w:cs="Times New Roman"/>
          <w:sz w:val="32"/>
          <w:szCs w:val="32"/>
          <w:lang w:val="en-US" w:eastAsia="zh-CN"/>
        </w:rPr>
        <w:t>；参与办理《关于建立健全行政合规指导激励机制，促进民营企业高质量发展的建议》等多个政协提案，与其他职能部门密切配合，加大对企业行政合规的指导力度，全力服务企业合规建设；组织在宁龙头装饰装修企业，召开了智能建造引领装饰装修行业转型发展座谈会，</w:t>
      </w:r>
      <w:r>
        <w:rPr>
          <w:rFonts w:hint="default" w:ascii="Times New Roman" w:hAnsi="Times New Roman" w:eastAsia="仿宋" w:cs="Times New Roman"/>
          <w:sz w:val="32"/>
          <w:szCs w:val="32"/>
          <w:lang w:val="en-US" w:eastAsia="zh-CN"/>
        </w:rPr>
        <w:t>推动产业升级与企业创新深度融合</w:t>
      </w:r>
      <w:r>
        <w:rPr>
          <w:rFonts w:hint="eastAsia" w:ascii="Times New Roman" w:hAnsi="Times New Roman" w:eastAsia="仿宋" w:cs="Times New Roman"/>
          <w:sz w:val="32"/>
          <w:szCs w:val="32"/>
          <w:lang w:val="en-US" w:eastAsia="zh-CN"/>
        </w:rPr>
        <w:t>；指导参与企业签订承诺书，接受主管部门、社会监督，完善前期端服务到后期交付全周期服务体系</w:t>
      </w:r>
      <w:r>
        <w:rPr>
          <w:rFonts w:hint="default" w:ascii="Times New Roman" w:hAnsi="Times New Roman" w:eastAsia="仿宋" w:cs="Times New Roman"/>
          <w:sz w:val="32"/>
          <w:szCs w:val="32"/>
          <w:lang w:val="en-US" w:eastAsia="zh-CN"/>
        </w:rPr>
        <w:t>。</w:t>
      </w:r>
    </w:p>
    <w:bookmarkEnd w:id="0"/>
    <w:p w14:paraId="380D96AE">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Times New Roman" w:hAnsi="Times New Roman" w:eastAsia="仿宋" w:cs="Times New Roman"/>
          <w:sz w:val="32"/>
          <w:szCs w:val="32"/>
          <w:lang w:val="en-US" w:eastAsia="zh-CN"/>
        </w:rPr>
      </w:pPr>
      <w:r>
        <w:rPr>
          <w:rFonts w:hint="eastAsia" w:ascii="Times New Roman" w:hAnsi="Times New Roman" w:eastAsia="仿宋" w:cs="Times New Roman"/>
          <w:sz w:val="32"/>
          <w:szCs w:val="32"/>
          <w:lang w:val="en-US" w:eastAsia="zh-CN"/>
        </w:rPr>
        <w:t>2、研究并制定《关于进一步加强南京市既有建筑装饰装修工程质量安全监管工作的实施意见》</w:t>
      </w:r>
    </w:p>
    <w:p w14:paraId="12D1262E">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default" w:ascii="Times New Roman" w:hAnsi="Times New Roman" w:eastAsia="仿宋" w:cs="Times New Roman"/>
          <w:sz w:val="32"/>
          <w:szCs w:val="32"/>
          <w:lang w:val="en-US" w:eastAsia="zh-CN"/>
        </w:rPr>
      </w:pPr>
      <w:r>
        <w:rPr>
          <w:rFonts w:hint="default" w:ascii="Times New Roman" w:hAnsi="Times New Roman" w:eastAsia="仿宋" w:cs="Times New Roman"/>
          <w:sz w:val="32"/>
          <w:szCs w:val="32"/>
          <w:lang w:val="en-US" w:eastAsia="zh-CN"/>
        </w:rPr>
        <w:t>在既有建筑质量安全事故频发的背景下，按照市委、市政府对我市既有建筑装饰装修工程的监管工作要求，</w:t>
      </w:r>
      <w:r>
        <w:rPr>
          <w:rFonts w:hint="eastAsia" w:ascii="Times New Roman" w:hAnsi="Times New Roman" w:eastAsia="仿宋" w:cs="Times New Roman"/>
          <w:sz w:val="32"/>
          <w:szCs w:val="32"/>
          <w:lang w:val="en-US" w:eastAsia="zh-CN"/>
        </w:rPr>
        <w:t>在</w:t>
      </w:r>
      <w:r>
        <w:rPr>
          <w:rFonts w:hint="default" w:ascii="Times New Roman" w:hAnsi="Times New Roman" w:eastAsia="仿宋" w:cs="Times New Roman"/>
          <w:sz w:val="32"/>
          <w:szCs w:val="32"/>
          <w:lang w:val="en-US" w:eastAsia="zh-CN"/>
        </w:rPr>
        <w:t>充分调查研究</w:t>
      </w:r>
      <w:r>
        <w:rPr>
          <w:rFonts w:hint="eastAsia" w:ascii="Times New Roman" w:hAnsi="Times New Roman" w:eastAsia="仿宋" w:cs="Times New Roman"/>
          <w:sz w:val="32"/>
          <w:szCs w:val="32"/>
          <w:lang w:val="en-US" w:eastAsia="zh-CN"/>
        </w:rPr>
        <w:t>的基础上</w:t>
      </w:r>
      <w:r>
        <w:rPr>
          <w:rFonts w:hint="default" w:ascii="Times New Roman" w:hAnsi="Times New Roman" w:eastAsia="仿宋" w:cs="Times New Roman"/>
          <w:sz w:val="32"/>
          <w:szCs w:val="32"/>
          <w:lang w:val="en-US" w:eastAsia="zh-CN"/>
        </w:rPr>
        <w:t>结合既有建筑装饰装修工程监管实际，以“质量有保障、安全无事故”为目标，制定出台了《关于进一步加强南京市既有建筑装饰装修工程质量安全监管工作的实施意见》纲领性文件，分类指导各区（园区）系统性构建既有建筑饰装修工程质量安全监管体系，统一全市监管思想、力量和标准，全面系统提升我市监管水平。</w:t>
      </w:r>
    </w:p>
    <w:p w14:paraId="7D9AE73D">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Times New Roman" w:hAnsi="Times New Roman" w:eastAsia="仿宋" w:cs="Times New Roman"/>
          <w:sz w:val="32"/>
          <w:szCs w:val="32"/>
          <w:lang w:val="en-US" w:eastAsia="zh-CN"/>
        </w:rPr>
      </w:pPr>
      <w:r>
        <w:rPr>
          <w:rFonts w:hint="eastAsia" w:ascii="Times New Roman" w:hAnsi="Times New Roman" w:eastAsia="仿宋" w:cs="Times New Roman"/>
          <w:sz w:val="32"/>
          <w:szCs w:val="32"/>
          <w:lang w:val="en-US" w:eastAsia="zh-CN"/>
        </w:rPr>
        <w:t>3、做好信用管理及施工许可相关工作</w:t>
      </w:r>
    </w:p>
    <w:p w14:paraId="04811E96">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Times New Roman" w:hAnsi="Times New Roman" w:eastAsia="仿宋" w:cs="Times New Roman"/>
          <w:sz w:val="32"/>
          <w:szCs w:val="32"/>
          <w:lang w:val="en-US" w:eastAsia="zh-CN"/>
        </w:rPr>
      </w:pPr>
      <w:r>
        <w:rPr>
          <w:rFonts w:hint="eastAsia" w:ascii="Times New Roman" w:hAnsi="Times New Roman" w:eastAsia="仿宋" w:cs="Times New Roman"/>
          <w:sz w:val="32"/>
          <w:szCs w:val="32"/>
          <w:lang w:val="en-US" w:eastAsia="zh-CN"/>
        </w:rPr>
        <w:t>完成2024上半年在宁1254家装饰企业信用评价工作；做好装修工程项目信息的审核，截至目前共审核项目信息468个，审核施工和监理单位合同信息归集330份，审核业绩信息17份，完成人员竣工解锁264份，完成关键岗位人员变更23个；审批施工许可22份（含3份保密许可），接待各类建设单位有关施工许可的政策咨询100余次，参与相关研讨会十余次，完成竣工验收备案审批13份（保密工程4份）。</w:t>
      </w:r>
    </w:p>
    <w:p w14:paraId="039F4551">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Times New Roman" w:hAnsi="Times New Roman" w:eastAsia="仿宋" w:cs="Times New Roman"/>
          <w:sz w:val="32"/>
          <w:szCs w:val="32"/>
          <w:lang w:val="en-US" w:eastAsia="zh-CN"/>
        </w:rPr>
      </w:pPr>
      <w:r>
        <w:rPr>
          <w:rFonts w:hint="eastAsia" w:ascii="Times New Roman" w:hAnsi="Times New Roman" w:eastAsia="仿宋" w:cs="Times New Roman"/>
          <w:sz w:val="32"/>
          <w:szCs w:val="32"/>
          <w:lang w:val="en-US" w:eastAsia="zh-CN"/>
        </w:rPr>
        <w:t>4、做好质量安全监督工作</w:t>
      </w:r>
    </w:p>
    <w:p w14:paraId="15D7F2A7">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仿宋" w:hAnsi="仿宋" w:eastAsia="仿宋" w:cs="仿宋"/>
          <w:b w:val="0"/>
          <w:bCs w:val="0"/>
          <w:sz w:val="32"/>
          <w:szCs w:val="32"/>
        </w:rPr>
      </w:pPr>
      <w:bookmarkStart w:id="1" w:name="OLE_LINK4"/>
      <w:r>
        <w:rPr>
          <w:rFonts w:hint="eastAsia" w:ascii="Times New Roman" w:hAnsi="Times New Roman" w:eastAsia="仿宋" w:cs="Times New Roman"/>
          <w:sz w:val="32"/>
          <w:szCs w:val="32"/>
          <w:lang w:val="en-US" w:eastAsia="zh-CN"/>
        </w:rPr>
        <w:t>全年共监督既有装饰装修工程29项，8项通过竣工验收，开展质量安全监督抽查148次，监督抽检48项，下发整改通知书101份，停工通知书6份</w:t>
      </w:r>
      <w:bookmarkEnd w:id="1"/>
      <w:r>
        <w:rPr>
          <w:rFonts w:hint="eastAsia" w:ascii="Times New Roman" w:hAnsi="Times New Roman" w:eastAsia="仿宋" w:cs="Times New Roman"/>
          <w:sz w:val="32"/>
          <w:szCs w:val="32"/>
          <w:lang w:val="en-US" w:eastAsia="zh-CN"/>
        </w:rPr>
        <w:t>；全年开展市级标准化考核5次，省级标准化考评2次；</w:t>
      </w:r>
      <w:bookmarkStart w:id="2" w:name="OLE_LINK5"/>
      <w:r>
        <w:rPr>
          <w:rFonts w:hint="eastAsia" w:ascii="Times New Roman" w:hAnsi="Times New Roman" w:eastAsia="仿宋" w:cs="Times New Roman"/>
          <w:sz w:val="32"/>
          <w:szCs w:val="32"/>
          <w:lang w:val="en-US" w:eastAsia="zh-CN"/>
        </w:rPr>
        <w:t>组织参加各类专项检查工作，包括全市既有建筑装饰装修工程安全隐患专项排查整治、新技术应用示范工程验收、房屋市政工程文明施工市级专项巡查、施工现场消防安全大检查、违规海砂治理专项检查、汽配城消防安全隐患专项排查整治、住宅工程全装修及分户验收质量专项检查等工作，对市、区级项目开展抽查，并及时处理或移交问题隐患</w:t>
      </w:r>
      <w:bookmarkEnd w:id="2"/>
      <w:r>
        <w:rPr>
          <w:rFonts w:hint="eastAsia" w:ascii="Times New Roman" w:hAnsi="Times New Roman" w:eastAsia="仿宋" w:cs="Times New Roman"/>
          <w:sz w:val="32"/>
          <w:szCs w:val="32"/>
          <w:lang w:val="en-US" w:eastAsia="zh-CN"/>
        </w:rPr>
        <w:t>；</w:t>
      </w:r>
      <w:bookmarkStart w:id="3" w:name="OLE_LINK6"/>
      <w:r>
        <w:rPr>
          <w:rFonts w:hint="eastAsia" w:ascii="Times New Roman" w:hAnsi="Times New Roman" w:eastAsia="仿宋" w:cs="Times New Roman"/>
          <w:sz w:val="32"/>
          <w:szCs w:val="32"/>
          <w:lang w:val="en-US" w:eastAsia="zh-CN"/>
        </w:rPr>
        <w:t>组织全市既有建筑装饰装修工程“安全月”“质量月”活动，完成相关培训工作，开展质量月材料专项检查工作，开展优秀</w:t>
      </w:r>
      <w:r>
        <w:rPr>
          <w:rFonts w:hint="eastAsia" w:ascii="仿宋" w:hAnsi="仿宋" w:eastAsia="仿宋" w:cs="仿宋"/>
          <w:b w:val="0"/>
          <w:bCs w:val="0"/>
          <w:sz w:val="32"/>
          <w:szCs w:val="32"/>
        </w:rPr>
        <w:t>项目“云观摩”经验交流工作</w:t>
      </w:r>
      <w:bookmarkEnd w:id="3"/>
      <w:r>
        <w:rPr>
          <w:rFonts w:hint="eastAsia" w:ascii="仿宋" w:hAnsi="仿宋" w:eastAsia="仿宋" w:cs="仿宋"/>
          <w:b w:val="0"/>
          <w:bCs w:val="0"/>
          <w:sz w:val="32"/>
          <w:szCs w:val="32"/>
        </w:rPr>
        <w:t>；</w:t>
      </w:r>
      <w:bookmarkStart w:id="4" w:name="OLE_LINK7"/>
      <w:r>
        <w:rPr>
          <w:rFonts w:hint="eastAsia" w:ascii="仿宋" w:hAnsi="仿宋" w:eastAsia="仿宋" w:cs="仿宋"/>
          <w:b w:val="0"/>
          <w:bCs w:val="0"/>
          <w:sz w:val="32"/>
          <w:szCs w:val="32"/>
        </w:rPr>
        <w:t>服务省党风廉政警示教育基地等重点项目，安排专人驻现场开展监督工作，保障工程顺利实施</w:t>
      </w:r>
      <w:bookmarkEnd w:id="4"/>
      <w:r>
        <w:rPr>
          <w:rFonts w:hint="eastAsia" w:ascii="仿宋" w:hAnsi="仿宋" w:eastAsia="仿宋" w:cs="仿宋"/>
          <w:b w:val="0"/>
          <w:bCs w:val="0"/>
          <w:sz w:val="32"/>
          <w:szCs w:val="32"/>
        </w:rPr>
        <w:t>。</w:t>
      </w:r>
    </w:p>
    <w:p w14:paraId="6CB9CB2A">
      <w:pPr>
        <w:spacing w:line="560" w:lineRule="exact"/>
        <w:ind w:firstLine="640" w:firstLineChars="200"/>
        <w:rPr>
          <w:rFonts w:hint="eastAsia" w:ascii="仿宋" w:hAnsi="仿宋" w:eastAsia="仿宋" w:cs="Times New Roman"/>
          <w:sz w:val="32"/>
          <w:szCs w:val="32"/>
          <w:lang w:val="en-US" w:eastAsia="zh-CN"/>
        </w:rPr>
      </w:pPr>
      <w:r>
        <w:rPr>
          <w:rFonts w:hint="eastAsia" w:ascii="仿宋" w:hAnsi="仿宋" w:eastAsia="仿宋" w:cs="Times New Roman"/>
          <w:sz w:val="32"/>
          <w:szCs w:val="32"/>
          <w:lang w:val="en-US" w:eastAsia="zh-CN"/>
        </w:rPr>
        <w:t>5、做好市场行为检查和行政执法工作</w:t>
      </w:r>
    </w:p>
    <w:p w14:paraId="50742E6A">
      <w:pPr>
        <w:keepNext w:val="0"/>
        <w:keepLines w:val="0"/>
        <w:pageBreakBefore w:val="0"/>
        <w:widowControl w:val="0"/>
        <w:kinsoku/>
        <w:wordWrap/>
        <w:overflowPunct/>
        <w:topLinePunct w:val="0"/>
        <w:autoSpaceDE/>
        <w:autoSpaceDN/>
        <w:bidi w:val="0"/>
        <w:spacing w:line="540" w:lineRule="exact"/>
        <w:ind w:firstLine="640"/>
        <w:textAlignment w:val="auto"/>
        <w:rPr>
          <w:rFonts w:hint="default" w:ascii="仿宋" w:hAnsi="仿宋" w:eastAsia="仿宋" w:cs="仿宋"/>
          <w:sz w:val="32"/>
          <w:szCs w:val="32"/>
          <w:lang w:val="en-US" w:eastAsia="zh-CN"/>
        </w:rPr>
      </w:pPr>
      <w:r>
        <w:rPr>
          <w:rFonts w:hint="eastAsia" w:ascii="仿宋" w:hAnsi="仿宋" w:eastAsia="仿宋" w:cs="仿宋"/>
          <w:sz w:val="32"/>
          <w:szCs w:val="32"/>
        </w:rPr>
        <w:t>组织开展2024年上半年南京市建筑装饰装修工程市场行为专项检查，重点</w:t>
      </w:r>
      <w:r>
        <w:rPr>
          <w:rFonts w:hint="eastAsia" w:ascii="仿宋" w:hAnsi="仿宋" w:eastAsia="仿宋" w:cs="仿宋"/>
          <w:bCs/>
          <w:sz w:val="32"/>
          <w:szCs w:val="32"/>
        </w:rPr>
        <w:t>对我市建筑装饰装修项目参建各方责任主体市场行为和农民工工资支付情况开展专项检查</w:t>
      </w:r>
      <w:r>
        <w:rPr>
          <w:rFonts w:hint="eastAsia" w:ascii="仿宋" w:hAnsi="仿宋" w:eastAsia="仿宋" w:cs="仿宋"/>
          <w:sz w:val="32"/>
          <w:szCs w:val="32"/>
          <w:lang w:eastAsia="zh-CN"/>
        </w:rPr>
        <w:t>；</w:t>
      </w:r>
      <w:r>
        <w:rPr>
          <w:rFonts w:hint="eastAsia" w:ascii="仿宋" w:hAnsi="仿宋" w:eastAsia="仿宋" w:cs="仿宋"/>
          <w:sz w:val="32"/>
          <w:szCs w:val="32"/>
        </w:rPr>
        <w:t>做好日常市场巡查工作，抽查项目1</w:t>
      </w:r>
      <w:r>
        <w:rPr>
          <w:rFonts w:hint="eastAsia" w:ascii="仿宋" w:hAnsi="仿宋" w:eastAsia="仿宋" w:cs="仿宋"/>
          <w:sz w:val="32"/>
          <w:szCs w:val="32"/>
          <w:lang w:val="en-US" w:eastAsia="zh-CN"/>
        </w:rPr>
        <w:t>89</w:t>
      </w:r>
      <w:r>
        <w:rPr>
          <w:rFonts w:hint="eastAsia" w:ascii="仿宋" w:hAnsi="仿宋" w:eastAsia="仿宋" w:cs="仿宋"/>
          <w:sz w:val="32"/>
          <w:szCs w:val="32"/>
        </w:rPr>
        <w:t>个</w:t>
      </w:r>
      <w:r>
        <w:rPr>
          <w:rFonts w:hint="eastAsia" w:ascii="仿宋" w:hAnsi="仿宋" w:eastAsia="仿宋" w:cs="仿宋"/>
          <w:sz w:val="32"/>
          <w:szCs w:val="32"/>
          <w:lang w:eastAsia="zh-CN"/>
        </w:rPr>
        <w:t>；</w:t>
      </w:r>
      <w:bookmarkStart w:id="5" w:name="OLE_LINK8"/>
      <w:r>
        <w:rPr>
          <w:rFonts w:hint="eastAsia" w:ascii="仿宋" w:hAnsi="仿宋" w:eastAsia="仿宋" w:cs="仿宋"/>
          <w:sz w:val="32"/>
          <w:szCs w:val="32"/>
          <w:lang w:val="en-US" w:eastAsia="zh-CN"/>
        </w:rPr>
        <w:t>按照市建委《关于开展建筑市场专项整治行动方案》，</w:t>
      </w:r>
      <w:r>
        <w:rPr>
          <w:rFonts w:hint="eastAsia" w:ascii="仿宋" w:hAnsi="仿宋" w:eastAsia="仿宋" w:cs="仿宋"/>
          <w:sz w:val="32"/>
          <w:szCs w:val="32"/>
        </w:rPr>
        <w:t>开展以政府投资或国有资金占比较大的既有建筑装饰装修项目市场行为专项整治，检查项目28个</w:t>
      </w:r>
      <w:bookmarkEnd w:id="5"/>
      <w:r>
        <w:rPr>
          <w:rFonts w:hint="eastAsia" w:ascii="仿宋" w:hAnsi="仿宋" w:eastAsia="仿宋" w:cs="仿宋"/>
          <w:sz w:val="32"/>
          <w:szCs w:val="32"/>
          <w:lang w:eastAsia="zh-CN"/>
        </w:rPr>
        <w:t>；</w:t>
      </w:r>
      <w:r>
        <w:rPr>
          <w:rFonts w:hint="eastAsia" w:ascii="仿宋" w:hAnsi="仿宋" w:eastAsia="仿宋" w:cs="仿宋"/>
          <w:color w:val="000000"/>
          <w:sz w:val="32"/>
          <w:szCs w:val="32"/>
          <w:shd w:val="clear" w:color="auto" w:fill="FFFFFF"/>
        </w:rPr>
        <w:t>根据《关于进一步明确我市既有建筑装饰装修施工许可审批与管理相关要求的通知》文件要求，督促属地监管部门加强既有建筑装修工程施工许可审批管理，对于</w:t>
      </w:r>
      <w:r>
        <w:rPr>
          <w:rFonts w:hint="eastAsia" w:ascii="仿宋" w:hAnsi="仿宋" w:eastAsia="仿宋" w:cs="仿宋"/>
          <w:sz w:val="32"/>
          <w:szCs w:val="32"/>
        </w:rPr>
        <w:t>未取得施工许可证擅自施工项目，按照立项情况，及时向属地监管部门移交违法线索15条。</w:t>
      </w:r>
    </w:p>
    <w:p w14:paraId="111D8354">
      <w:pPr>
        <w:spacing w:line="560" w:lineRule="exact"/>
        <w:ind w:firstLine="640" w:firstLineChars="200"/>
        <w:rPr>
          <w:rFonts w:hint="eastAsia" w:ascii="仿宋" w:hAnsi="仿宋" w:eastAsia="仿宋" w:cs="Times New Roman"/>
          <w:sz w:val="32"/>
          <w:szCs w:val="32"/>
          <w:lang w:val="en-US" w:eastAsia="zh-CN"/>
        </w:rPr>
      </w:pPr>
      <w:r>
        <w:rPr>
          <w:rFonts w:hint="eastAsia" w:ascii="仿宋" w:hAnsi="仿宋" w:eastAsia="仿宋" w:cs="Times New Roman"/>
          <w:sz w:val="32"/>
          <w:szCs w:val="32"/>
          <w:lang w:val="en-US" w:eastAsia="zh-CN"/>
        </w:rPr>
        <w:t>6、做好政策研究、课题调研工作</w:t>
      </w:r>
    </w:p>
    <w:p w14:paraId="2F454935">
      <w:pPr>
        <w:keepNext w:val="0"/>
        <w:keepLines w:val="0"/>
        <w:pageBreakBefore w:val="0"/>
        <w:widowControl w:val="0"/>
        <w:kinsoku/>
        <w:wordWrap/>
        <w:overflowPunct/>
        <w:topLinePunct w:val="0"/>
        <w:autoSpaceDE/>
        <w:autoSpaceDN/>
        <w:bidi w:val="0"/>
        <w:adjustRightInd w:val="0"/>
        <w:snapToGrid w:val="0"/>
        <w:spacing w:line="540" w:lineRule="exact"/>
        <w:ind w:firstLine="640"/>
        <w:jc w:val="left"/>
        <w:textAlignment w:val="auto"/>
        <w:rPr>
          <w:rFonts w:hint="eastAsia" w:ascii="仿宋" w:hAnsi="仿宋" w:eastAsia="仿宋" w:cs="仿宋"/>
          <w:b/>
          <w:bCs/>
          <w:sz w:val="32"/>
          <w:szCs w:val="32"/>
        </w:rPr>
      </w:pPr>
      <w:r>
        <w:rPr>
          <w:rFonts w:hint="eastAsia" w:ascii="仿宋" w:hAnsi="仿宋" w:eastAsia="仿宋" w:cs="仿宋"/>
          <w:sz w:val="32"/>
          <w:szCs w:val="32"/>
          <w:lang w:val="en-US" w:eastAsia="zh-CN"/>
        </w:rPr>
        <w:t>参与</w:t>
      </w:r>
      <w:r>
        <w:rPr>
          <w:rFonts w:hint="eastAsia" w:ascii="仿宋" w:hAnsi="仿宋" w:eastAsia="仿宋" w:cs="仿宋"/>
          <w:sz w:val="32"/>
          <w:szCs w:val="32"/>
        </w:rPr>
        <w:t>制定《南京市既有建筑装饰装修工程质量监督抽检管理规定》（宁建规字﹝2024﹞1号），统一全市既有建筑工程质量监督抽检标准</w:t>
      </w:r>
      <w:r>
        <w:rPr>
          <w:rFonts w:hint="eastAsia" w:ascii="仿宋" w:hAnsi="仿宋" w:eastAsia="仿宋" w:cs="仿宋"/>
          <w:sz w:val="32"/>
          <w:szCs w:val="32"/>
          <w:lang w:eastAsia="zh-CN"/>
        </w:rPr>
        <w:t>；</w:t>
      </w:r>
      <w:r>
        <w:rPr>
          <w:rFonts w:hint="eastAsia" w:ascii="仿宋" w:hAnsi="仿宋" w:eastAsia="仿宋" w:cs="仿宋"/>
          <w:sz w:val="32"/>
          <w:szCs w:val="32"/>
        </w:rPr>
        <w:t>制定</w:t>
      </w:r>
      <w:r>
        <w:rPr>
          <w:rFonts w:hint="eastAsia" w:ascii="仿宋" w:hAnsi="仿宋" w:eastAsia="仿宋" w:cs="仿宋"/>
          <w:sz w:val="32"/>
          <w:szCs w:val="32"/>
          <w:lang w:val="en-US" w:eastAsia="zh-CN"/>
        </w:rPr>
        <w:t>出台</w:t>
      </w:r>
      <w:r>
        <w:rPr>
          <w:rFonts w:hint="eastAsia" w:ascii="仿宋" w:hAnsi="仿宋" w:eastAsia="仿宋" w:cs="仿宋"/>
          <w:sz w:val="32"/>
          <w:szCs w:val="32"/>
        </w:rPr>
        <w:t>《既有建筑装饰装修工程监督档案管理制度》（宁装监字﹝2024﹞3号），提升单位内部监督档案管理水平</w:t>
      </w:r>
      <w:r>
        <w:rPr>
          <w:rFonts w:hint="eastAsia" w:ascii="仿宋" w:hAnsi="仿宋" w:eastAsia="仿宋" w:cs="仿宋"/>
          <w:sz w:val="32"/>
          <w:szCs w:val="32"/>
          <w:lang w:eastAsia="zh-CN"/>
        </w:rPr>
        <w:t>；</w:t>
      </w:r>
      <w:r>
        <w:rPr>
          <w:rFonts w:hint="eastAsia" w:ascii="仿宋" w:hAnsi="仿宋" w:eastAsia="仿宋" w:cs="仿宋"/>
          <w:sz w:val="32"/>
          <w:szCs w:val="32"/>
        </w:rPr>
        <w:t>起草</w:t>
      </w:r>
      <w:r>
        <w:rPr>
          <w:rFonts w:hint="eastAsia" w:ascii="仿宋" w:hAnsi="仿宋" w:eastAsia="仿宋" w:cs="仿宋"/>
          <w:sz w:val="32"/>
          <w:szCs w:val="32"/>
          <w:lang w:val="en-US" w:eastAsia="zh-CN"/>
        </w:rPr>
        <w:t>拟定</w:t>
      </w:r>
      <w:r>
        <w:rPr>
          <w:rFonts w:hint="eastAsia" w:ascii="仿宋" w:hAnsi="仿宋" w:eastAsia="仿宋" w:cs="仿宋"/>
          <w:sz w:val="32"/>
          <w:szCs w:val="32"/>
        </w:rPr>
        <w:t>《南京市既有建筑装修改造工程质量安全手册》，指导全市既有建筑装修改造工程</w:t>
      </w:r>
      <w:r>
        <w:rPr>
          <w:rFonts w:hint="eastAsia" w:ascii="仿宋" w:hAnsi="仿宋" w:eastAsia="仿宋" w:cs="仿宋"/>
          <w:sz w:val="32"/>
          <w:szCs w:val="32"/>
          <w:lang w:val="en-US" w:eastAsia="zh-CN"/>
        </w:rPr>
        <w:t>参建单位全面履行质量安全责任</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承担</w:t>
      </w:r>
      <w:r>
        <w:rPr>
          <w:rFonts w:hint="eastAsia" w:ascii="仿宋" w:hAnsi="仿宋" w:eastAsia="仿宋" w:cs="仿宋"/>
          <w:sz w:val="32"/>
          <w:szCs w:val="32"/>
        </w:rPr>
        <w:t>《既有建筑城市更新转型发展面临技术难点和解决对策》</w:t>
      </w:r>
      <w:r>
        <w:rPr>
          <w:rFonts w:hint="eastAsia" w:ascii="仿宋" w:hAnsi="仿宋" w:eastAsia="仿宋" w:cs="仿宋"/>
          <w:sz w:val="32"/>
          <w:szCs w:val="32"/>
          <w:lang w:val="en-US" w:eastAsia="zh-CN"/>
        </w:rPr>
        <w:t>的调研课题研究工作，</w:t>
      </w:r>
      <w:r>
        <w:rPr>
          <w:rFonts w:hint="eastAsia" w:ascii="仿宋" w:hAnsi="仿宋" w:eastAsia="仿宋" w:cs="仿宋"/>
          <w:sz w:val="32"/>
          <w:szCs w:val="32"/>
          <w:lang w:eastAsia="zh-CN"/>
        </w:rPr>
        <w:t>参与省住建厅牵头组织的《既有建筑装修改造关键技术研究与示范》《改善型住宅装饰装修质量管理手册》科技项目研究工作。</w:t>
      </w:r>
    </w:p>
    <w:p w14:paraId="3DBBB83C">
      <w:pPr>
        <w:spacing w:line="560" w:lineRule="exact"/>
        <w:ind w:firstLine="640" w:firstLineChars="200"/>
        <w:rPr>
          <w:rFonts w:hint="eastAsia" w:ascii="仿宋" w:hAnsi="仿宋" w:eastAsia="仿宋" w:cs="Times New Roman"/>
          <w:sz w:val="32"/>
          <w:szCs w:val="32"/>
          <w:lang w:val="en-US" w:eastAsia="zh-CN"/>
        </w:rPr>
      </w:pPr>
      <w:r>
        <w:rPr>
          <w:rFonts w:hint="eastAsia" w:ascii="仿宋" w:hAnsi="仿宋" w:eastAsia="仿宋" w:cs="Times New Roman"/>
          <w:sz w:val="32"/>
          <w:szCs w:val="32"/>
          <w:lang w:val="en-US" w:eastAsia="zh-CN"/>
        </w:rPr>
        <w:t>7、做好信访投诉和“双清”工作</w:t>
      </w:r>
    </w:p>
    <w:p w14:paraId="3B6D8D3D">
      <w:pPr>
        <w:widowControl/>
        <w:spacing w:line="620" w:lineRule="exact"/>
        <w:ind w:firstLine="640" w:firstLineChars="200"/>
        <w:jc w:val="left"/>
        <w:rPr>
          <w:rFonts w:hint="eastAsia" w:ascii="楷体" w:hAnsi="楷体" w:eastAsia="楷体" w:cs="楷体"/>
          <w:color w:val="000000"/>
          <w:kern w:val="0"/>
          <w:sz w:val="32"/>
          <w:szCs w:val="32"/>
        </w:rPr>
      </w:pPr>
      <w:bookmarkStart w:id="6" w:name="OLE_LINK3"/>
      <w:r>
        <w:rPr>
          <w:rFonts w:hint="eastAsia" w:ascii="仿宋" w:hAnsi="仿宋" w:eastAsia="仿宋" w:cs="仿宋"/>
          <w:sz w:val="32"/>
          <w:szCs w:val="32"/>
          <w:lang w:val="en-US" w:eastAsia="zh-CN"/>
        </w:rPr>
        <w:t>探索“枫桥经验”家装领域“新样板”，</w:t>
      </w:r>
      <w:r>
        <w:rPr>
          <w:rFonts w:hint="eastAsia" w:ascii="仿宋" w:hAnsi="仿宋" w:eastAsia="仿宋" w:cs="仿宋"/>
          <w:kern w:val="2"/>
          <w:sz w:val="32"/>
          <w:szCs w:val="32"/>
          <w:lang w:val="en-US" w:eastAsia="zh-CN" w:bidi="ar-SA"/>
        </w:rPr>
        <w:t>协调联</w:t>
      </w:r>
      <w:r>
        <w:rPr>
          <w:rFonts w:hint="eastAsia" w:ascii="仿宋" w:hAnsi="仿宋" w:eastAsia="仿宋" w:cs="仿宋"/>
          <w:kern w:val="0"/>
          <w:sz w:val="32"/>
          <w:szCs w:val="32"/>
          <w:lang w:val="en-US" w:eastAsia="zh-CN"/>
        </w:rPr>
        <w:t>动</w:t>
      </w:r>
      <w:r>
        <w:rPr>
          <w:rFonts w:hint="eastAsia" w:ascii="仿宋" w:hAnsi="仿宋" w:eastAsia="仿宋" w:cs="仿宋"/>
          <w:kern w:val="2"/>
          <w:sz w:val="32"/>
          <w:szCs w:val="32"/>
          <w:lang w:val="en-US" w:eastAsia="zh-CN" w:bidi="ar-SA"/>
        </w:rPr>
        <w:t>法院、房产、市场监管等部门</w:t>
      </w:r>
      <w:r>
        <w:rPr>
          <w:rFonts w:hint="eastAsia" w:ascii="仿宋" w:hAnsi="仿宋" w:eastAsia="仿宋" w:cs="仿宋"/>
          <w:kern w:val="0"/>
          <w:sz w:val="32"/>
          <w:szCs w:val="32"/>
          <w:lang w:val="en-US" w:eastAsia="zh-CN"/>
        </w:rPr>
        <w:t>，汇集装饰企业、行业协会等社会各方力量参与调解纠纷，</w:t>
      </w:r>
      <w:r>
        <w:rPr>
          <w:rFonts w:hint="eastAsia" w:ascii="仿宋" w:hAnsi="仿宋" w:eastAsia="仿宋" w:cs="仿宋"/>
          <w:sz w:val="32"/>
          <w:szCs w:val="32"/>
          <w:lang w:val="en-US" w:eastAsia="zh-CN"/>
        </w:rPr>
        <w:t>推动家装纠纷化解由“独角戏”转为“大合唱”</w:t>
      </w:r>
      <w:r>
        <w:rPr>
          <w:rFonts w:hint="eastAsia" w:ascii="仿宋" w:hAnsi="仿宋" w:eastAsia="仿宋" w:cs="仿宋"/>
          <w:sz w:val="32"/>
          <w:szCs w:val="32"/>
        </w:rPr>
        <w:t>；进一步拓展家装消费者消费维权渠道，探索建立“线上+线下”投诉受理平台，在装饰中心官网上建立投诉平台，分流12345投诉热线平台的投诉</w:t>
      </w:r>
      <w:r>
        <w:rPr>
          <w:rFonts w:hint="eastAsia" w:ascii="仿宋" w:hAnsi="仿宋" w:eastAsia="仿宋" w:cs="仿宋"/>
          <w:sz w:val="32"/>
          <w:szCs w:val="32"/>
          <w:lang w:val="en-US" w:eastAsia="zh-CN"/>
        </w:rPr>
        <w:t>量</w:t>
      </w:r>
      <w:bookmarkEnd w:id="6"/>
      <w:r>
        <w:rPr>
          <w:rFonts w:hint="eastAsia" w:ascii="仿宋" w:hAnsi="仿宋" w:eastAsia="仿宋" w:cs="仿宋"/>
          <w:sz w:val="32"/>
          <w:szCs w:val="32"/>
          <w:lang w:val="en-US" w:eastAsia="zh-CN"/>
        </w:rPr>
        <w:t>，全年共办理12345投诉1114件，来电来访2959件，维护了百姓合法权益。</w:t>
      </w:r>
    </w:p>
    <w:p w14:paraId="0DFC0BA9">
      <w:pPr>
        <w:adjustRightInd w:val="0"/>
        <w:snapToGrid w:val="0"/>
        <w:spacing w:line="620" w:lineRule="exact"/>
        <w:ind w:firstLine="640" w:firstLineChars="200"/>
        <w:rPr>
          <w:rFonts w:ascii="楷体" w:hAnsi="楷体" w:eastAsia="楷体" w:cs="楷体"/>
          <w:color w:val="000000"/>
          <w:kern w:val="0"/>
          <w:sz w:val="32"/>
          <w:szCs w:val="32"/>
        </w:rPr>
      </w:pPr>
      <w:r>
        <w:rPr>
          <w:rFonts w:hint="eastAsia" w:ascii="楷体" w:hAnsi="楷体" w:eastAsia="楷体" w:cs="楷体"/>
          <w:color w:val="000000"/>
          <w:kern w:val="0"/>
          <w:sz w:val="32"/>
          <w:szCs w:val="32"/>
        </w:rPr>
        <w:t>（二）年度工作（任务）目标效果</w:t>
      </w:r>
    </w:p>
    <w:p w14:paraId="0F4431E0">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逐步提升建筑业企业资质办理效率；按时完成外地来宁装饰企业信用</w:t>
      </w:r>
      <w:r>
        <w:rPr>
          <w:rFonts w:hint="eastAsia" w:ascii="仿宋" w:hAnsi="仿宋" w:eastAsia="仿宋" w:cs="仿宋"/>
          <w:kern w:val="0"/>
          <w:sz w:val="32"/>
          <w:szCs w:val="32"/>
        </w:rPr>
        <w:t>档</w:t>
      </w:r>
      <w:r>
        <w:rPr>
          <w:rFonts w:hint="eastAsia" w:ascii="仿宋" w:hAnsi="仿宋" w:eastAsia="仿宋" w:cs="仿宋"/>
          <w:color w:val="000000"/>
          <w:kern w:val="0"/>
          <w:sz w:val="32"/>
          <w:szCs w:val="32"/>
        </w:rPr>
        <w:t>案的申办及换发工作；逐步提高装饰工程施工许可办理覆盖面，以工程项目为载体，加大了对进宁承接业务的外地企业的监管力度；提高监督人员的业务水平，促进二次装饰装修工程施工质量稳步提高；强化监管执法力度，优化施工安全信息化管理，提升监管人员执法水平，保证在建工程安全生产形势持续稳定；重点打击建设领域装饰施工转包、违法分包、挂靠等违法行为，不断规范建筑装饰市场秩序；加强党风廉政建设、作风建设、组织建设，推动党建工作水平逐步提升。</w:t>
      </w:r>
    </w:p>
    <w:p w14:paraId="29687AB0">
      <w:pPr>
        <w:widowControl/>
        <w:spacing w:line="620"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四、存在问题及原因分析</w:t>
      </w:r>
    </w:p>
    <w:p w14:paraId="2B7AF4F3">
      <w:pPr>
        <w:widowControl/>
        <w:spacing w:line="620" w:lineRule="exact"/>
        <w:ind w:firstLine="640" w:firstLineChars="200"/>
        <w:jc w:val="left"/>
        <w:rPr>
          <w:rFonts w:ascii="仿宋" w:hAnsi="仿宋" w:eastAsia="仿宋" w:cs="仿宋"/>
          <w:color w:val="000000"/>
          <w:kern w:val="0"/>
          <w:sz w:val="32"/>
          <w:szCs w:val="32"/>
        </w:rPr>
      </w:pPr>
      <w:r>
        <w:rPr>
          <w:rFonts w:hint="eastAsia" w:ascii="仿宋" w:hAnsi="仿宋" w:eastAsia="仿宋" w:cs="仿宋"/>
          <w:color w:val="000000"/>
          <w:kern w:val="0"/>
          <w:sz w:val="32"/>
          <w:szCs w:val="32"/>
        </w:rPr>
        <w:t>本单位项目评价还不够细化，评级体系还不够完整，应在以后强化绩效管理考核，围绕绩效考核目标任务，层层分解落实，明确责任领导和责任单位（科室）及责任人，进一步优化装修工程安全职责增加后的目标管理，强化责任意识，使考核目标中涉及到的每一项任务都落到实处。</w:t>
      </w:r>
    </w:p>
    <w:p w14:paraId="05778107">
      <w:pPr>
        <w:widowControl/>
        <w:spacing w:line="620"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五、有关建议</w:t>
      </w:r>
    </w:p>
    <w:p w14:paraId="780CE803">
      <w:pPr>
        <w:widowControl/>
        <w:spacing w:line="620" w:lineRule="exact"/>
        <w:ind w:firstLine="640" w:firstLineChars="200"/>
        <w:rPr>
          <w:rFonts w:ascii="仿宋" w:hAnsi="仿宋" w:eastAsia="仿宋" w:cs="仿宋"/>
          <w:color w:val="000000"/>
          <w:sz w:val="32"/>
          <w:szCs w:val="32"/>
        </w:rPr>
      </w:pPr>
      <w:r>
        <w:rPr>
          <w:rFonts w:hint="eastAsia" w:ascii="仿宋" w:hAnsi="仿宋" w:eastAsia="仿宋" w:cs="仿宋"/>
          <w:color w:val="000000"/>
          <w:sz w:val="32"/>
          <w:szCs w:val="32"/>
        </w:rPr>
        <w:t>建议财政举办学习培训，让相关工作人员进一步熟悉掌握绩效评价工作程序、方法和要求，为下年度工作开展打下扎实基础。</w:t>
      </w:r>
    </w:p>
    <w:p w14:paraId="577D3BE4">
      <w:pPr>
        <w:widowControl/>
        <w:spacing w:line="620"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六、其他需说明的情况</w:t>
      </w:r>
    </w:p>
    <w:p w14:paraId="68B4D3FC">
      <w:pPr>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本单位在部门整体绩效评价工作中还存在许多不足，离工作要求还有一定差距，不足之处敬请提出批评意见，我们将认真加以改正。</w:t>
      </w:r>
    </w:p>
    <w:p w14:paraId="3C4EA360">
      <w:pPr>
        <w:spacing w:line="620" w:lineRule="exact"/>
        <w:ind w:firstLine="640" w:firstLineChars="200"/>
        <w:rPr>
          <w:rFonts w:ascii="仿宋" w:hAnsi="仿宋" w:eastAsia="仿宋" w:cs="仿宋"/>
          <w:color w:val="000000"/>
          <w:kern w:val="0"/>
          <w:sz w:val="32"/>
          <w:szCs w:val="32"/>
        </w:rPr>
      </w:pPr>
    </w:p>
    <w:p w14:paraId="54105BE5">
      <w:pPr>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附件：市装饰中心</w:t>
      </w:r>
      <w:r>
        <w:rPr>
          <w:rFonts w:hint="eastAsia" w:ascii="Times New Roman" w:hAnsi="Times New Roman" w:eastAsia="仿宋" w:cs="Times New Roman"/>
          <w:color w:val="000000"/>
          <w:kern w:val="0"/>
          <w:sz w:val="32"/>
          <w:szCs w:val="32"/>
        </w:rPr>
        <w:t>202</w:t>
      </w:r>
      <w:r>
        <w:rPr>
          <w:rFonts w:hint="eastAsia" w:ascii="Times New Roman" w:hAnsi="Times New Roman" w:eastAsia="仿宋" w:cs="Times New Roman"/>
          <w:color w:val="000000"/>
          <w:kern w:val="0"/>
          <w:sz w:val="32"/>
          <w:szCs w:val="32"/>
          <w:lang w:val="en-US" w:eastAsia="zh-CN"/>
        </w:rPr>
        <w:t>4</w:t>
      </w:r>
      <w:r>
        <w:rPr>
          <w:rFonts w:hint="eastAsia" w:ascii="仿宋" w:hAnsi="仿宋" w:eastAsia="仿宋" w:cs="仿宋"/>
          <w:color w:val="000000"/>
          <w:kern w:val="0"/>
          <w:sz w:val="32"/>
          <w:szCs w:val="32"/>
        </w:rPr>
        <w:t>年度部门整体绩效评价指标体系得分表</w:t>
      </w:r>
    </w:p>
    <w:p w14:paraId="0BD585E3">
      <w:pPr>
        <w:spacing w:line="620" w:lineRule="exact"/>
        <w:ind w:firstLine="4480" w:firstLineChars="1400"/>
        <w:jc w:val="left"/>
        <w:rPr>
          <w:rFonts w:ascii="仿宋" w:hAnsi="仿宋" w:eastAsia="仿宋" w:cs="仿宋"/>
          <w:color w:val="000000"/>
          <w:kern w:val="0"/>
          <w:sz w:val="32"/>
          <w:szCs w:val="32"/>
        </w:rPr>
      </w:pPr>
    </w:p>
    <w:p w14:paraId="04551C70">
      <w:pPr>
        <w:spacing w:line="620" w:lineRule="exact"/>
        <w:ind w:firstLine="4480" w:firstLineChars="1400"/>
        <w:rPr>
          <w:rFonts w:ascii="仿宋" w:hAnsi="仿宋" w:eastAsia="仿宋" w:cs="仿宋"/>
          <w:color w:val="000000"/>
          <w:kern w:val="0"/>
          <w:sz w:val="32"/>
          <w:szCs w:val="32"/>
        </w:rPr>
      </w:pPr>
      <w:r>
        <w:rPr>
          <w:rFonts w:hint="eastAsia" w:ascii="仿宋" w:hAnsi="仿宋" w:eastAsia="仿宋" w:cs="仿宋"/>
          <w:color w:val="000000"/>
          <w:kern w:val="0"/>
          <w:sz w:val="32"/>
          <w:szCs w:val="32"/>
        </w:rPr>
        <w:t>南京市装饰行业发展中心</w:t>
      </w:r>
    </w:p>
    <w:p w14:paraId="0DADF542">
      <w:pPr>
        <w:spacing w:line="620" w:lineRule="exact"/>
        <w:ind w:firstLine="3520" w:firstLineChars="1100"/>
        <w:rPr>
          <w:rFonts w:ascii="仿宋" w:hAnsi="仿宋" w:eastAsia="仿宋" w:cs="仿宋"/>
          <w:color w:val="000000"/>
          <w:kern w:val="0"/>
          <w:sz w:val="32"/>
          <w:szCs w:val="32"/>
        </w:rPr>
      </w:pPr>
      <w:r>
        <w:rPr>
          <w:rFonts w:hint="eastAsia" w:ascii="仿宋" w:hAnsi="仿宋" w:eastAsia="仿宋" w:cs="仿宋"/>
          <w:color w:val="000000"/>
          <w:kern w:val="0"/>
          <w:sz w:val="32"/>
          <w:szCs w:val="32"/>
        </w:rPr>
        <w:t>南京市装饰装修工程质量安全监督站</w:t>
      </w:r>
    </w:p>
    <w:p w14:paraId="2BF05517">
      <w:pPr>
        <w:spacing w:line="620" w:lineRule="exact"/>
        <w:ind w:firstLine="640" w:firstLineChars="200"/>
        <w:rPr>
          <w:rFonts w:ascii="仿宋" w:hAnsi="仿宋" w:eastAsia="仿宋" w:cs="仿宋"/>
          <w:color w:val="000000"/>
          <w:kern w:val="0"/>
          <w:sz w:val="32"/>
          <w:szCs w:val="32"/>
        </w:rPr>
      </w:pPr>
      <w:r>
        <w:rPr>
          <w:rFonts w:hint="eastAsia" w:ascii="仿宋" w:hAnsi="仿宋" w:eastAsia="仿宋" w:cs="仿宋"/>
          <w:color w:val="000000"/>
          <w:kern w:val="0"/>
          <w:sz w:val="32"/>
          <w:szCs w:val="32"/>
        </w:rPr>
        <w:t xml:space="preserve">                           </w:t>
      </w:r>
      <w:r>
        <w:rPr>
          <w:rFonts w:ascii="Times New Roman" w:hAnsi="Times New Roman" w:eastAsia="仿宋" w:cs="Times New Roman"/>
          <w:color w:val="000000"/>
          <w:kern w:val="0"/>
          <w:sz w:val="32"/>
          <w:szCs w:val="32"/>
        </w:rPr>
        <w:t>202</w:t>
      </w:r>
      <w:r>
        <w:rPr>
          <w:rFonts w:hint="eastAsia" w:ascii="Times New Roman" w:hAnsi="Times New Roman" w:eastAsia="仿宋" w:cs="Times New Roman"/>
          <w:color w:val="000000"/>
          <w:kern w:val="0"/>
          <w:sz w:val="32"/>
          <w:szCs w:val="32"/>
          <w:lang w:val="en-US" w:eastAsia="zh-CN"/>
        </w:rPr>
        <w:t>5</w:t>
      </w:r>
      <w:r>
        <w:rPr>
          <w:rFonts w:hint="eastAsia" w:ascii="仿宋" w:hAnsi="仿宋" w:eastAsia="仿宋" w:cs="仿宋"/>
          <w:color w:val="000000"/>
          <w:kern w:val="0"/>
          <w:sz w:val="32"/>
          <w:szCs w:val="32"/>
        </w:rPr>
        <w:t>年</w:t>
      </w:r>
      <w:r>
        <w:rPr>
          <w:rFonts w:hint="eastAsia" w:ascii="Times New Roman" w:hAnsi="Times New Roman" w:eastAsia="仿宋" w:cs="Times New Roman"/>
          <w:color w:val="000000"/>
          <w:kern w:val="0"/>
          <w:sz w:val="32"/>
          <w:szCs w:val="32"/>
        </w:rPr>
        <w:t>6</w:t>
      </w:r>
      <w:r>
        <w:rPr>
          <w:rFonts w:hint="eastAsia" w:ascii="仿宋" w:hAnsi="仿宋" w:eastAsia="仿宋" w:cs="仿宋"/>
          <w:color w:val="000000"/>
          <w:kern w:val="0"/>
          <w:sz w:val="32"/>
          <w:szCs w:val="32"/>
        </w:rPr>
        <w:t>月</w:t>
      </w:r>
      <w:r>
        <w:rPr>
          <w:rFonts w:hint="eastAsia" w:ascii="Times New Roman" w:hAnsi="Times New Roman" w:eastAsia="仿宋" w:cs="Times New Roman"/>
          <w:color w:val="000000"/>
          <w:kern w:val="0"/>
          <w:sz w:val="32"/>
          <w:szCs w:val="32"/>
          <w:lang w:val="en-US" w:eastAsia="zh-CN"/>
        </w:rPr>
        <w:t>17</w:t>
      </w:r>
      <w:r>
        <w:rPr>
          <w:rFonts w:hint="eastAsia" w:ascii="仿宋" w:hAnsi="仿宋" w:eastAsia="仿宋" w:cs="仿宋"/>
          <w:color w:val="000000"/>
          <w:kern w:val="0"/>
          <w:sz w:val="32"/>
          <w:szCs w:val="32"/>
        </w:rPr>
        <w:t>日</w:t>
      </w:r>
    </w:p>
    <w:p w14:paraId="798440CE">
      <w:pPr>
        <w:spacing w:line="620" w:lineRule="exact"/>
        <w:rPr>
          <w:rFonts w:ascii="仿宋" w:hAnsi="仿宋" w:eastAsia="仿宋" w:cs="仿宋"/>
          <w:sz w:val="32"/>
          <w:szCs w:val="32"/>
        </w:rPr>
        <w:sectPr>
          <w:footerReference r:id="rId7" w:type="first"/>
          <w:headerReference r:id="rId3" w:type="default"/>
          <w:footerReference r:id="rId5" w:type="default"/>
          <w:headerReference r:id="rId4" w:type="even"/>
          <w:footerReference r:id="rId6" w:type="even"/>
          <w:pgSz w:w="11906" w:h="16838"/>
          <w:pgMar w:top="2098" w:right="1587" w:bottom="1701" w:left="1587" w:header="1247" w:footer="1247" w:gutter="0"/>
          <w:cols w:space="425" w:num="1"/>
          <w:docGrid w:linePitch="381" w:charSpace="0"/>
        </w:sectPr>
      </w:pPr>
    </w:p>
    <w:tbl>
      <w:tblPr>
        <w:tblStyle w:val="7"/>
        <w:tblW w:w="13855" w:type="dxa"/>
        <w:tblInd w:w="-601"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19"/>
        <w:gridCol w:w="1843"/>
        <w:gridCol w:w="3827"/>
        <w:gridCol w:w="1476"/>
        <w:gridCol w:w="1770"/>
        <w:gridCol w:w="3720"/>
      </w:tblGrid>
      <w:tr w14:paraId="4810D63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blHeader/>
        </w:trPr>
        <w:tc>
          <w:tcPr>
            <w:tcW w:w="1219" w:type="dxa"/>
            <w:shd w:val="clear" w:color="auto" w:fill="auto"/>
            <w:vAlign w:val="center"/>
          </w:tcPr>
          <w:p w14:paraId="5396EB5C">
            <w:pPr>
              <w:widowControl/>
              <w:jc w:val="center"/>
              <w:rPr>
                <w:rFonts w:ascii="仿宋" w:hAnsi="仿宋" w:cs="宋体"/>
                <w:b/>
                <w:bCs/>
                <w:color w:val="000000"/>
                <w:kern w:val="0"/>
                <w:sz w:val="24"/>
                <w:szCs w:val="24"/>
              </w:rPr>
            </w:pPr>
            <w:r>
              <w:rPr>
                <w:rFonts w:ascii="Times New Roman" w:hAnsi="Times New Roman"/>
                <w:sz w:val="28"/>
              </w:rPr>
              <mc:AlternateContent>
                <mc:Choice Requires="wps">
                  <w:drawing>
                    <wp:anchor distT="0" distB="0" distL="114300" distR="114300" simplePos="0" relativeHeight="251659264" behindDoc="0" locked="0" layoutInCell="1" allowOverlap="1">
                      <wp:simplePos x="0" y="0"/>
                      <wp:positionH relativeFrom="column">
                        <wp:posOffset>-605790</wp:posOffset>
                      </wp:positionH>
                      <wp:positionV relativeFrom="paragraph">
                        <wp:posOffset>-667385</wp:posOffset>
                      </wp:positionV>
                      <wp:extent cx="6412865" cy="645160"/>
                      <wp:effectExtent l="0" t="0" r="0" b="0"/>
                      <wp:wrapNone/>
                      <wp:docPr id="2" name="文本框 4"/>
                      <wp:cNvGraphicFramePr/>
                      <a:graphic xmlns:a="http://schemas.openxmlformats.org/drawingml/2006/main">
                        <a:graphicData uri="http://schemas.microsoft.com/office/word/2010/wordprocessingShape">
                          <wps:wsp>
                            <wps:cNvSpPr txBox="1"/>
                            <wps:spPr>
                              <a:xfrm>
                                <a:off x="0" y="0"/>
                                <a:ext cx="6412865" cy="645160"/>
                              </a:xfrm>
                              <a:prstGeom prst="rect">
                                <a:avLst/>
                              </a:prstGeom>
                              <a:noFill/>
                              <a:ln>
                                <a:noFill/>
                              </a:ln>
                              <a:effectLst/>
                            </wps:spPr>
                            <wps:txbx>
                              <w:txbxContent>
                                <w:p w14:paraId="2B843CF8">
                                  <w:pPr>
                                    <w:spacing w:line="560" w:lineRule="exact"/>
                                    <w:ind w:firstLine="640" w:firstLineChars="200"/>
                                    <w:rPr>
                                      <w:rFonts w:ascii="Times New Roman" w:hAnsi="Times New Roman" w:eastAsia="方正仿宋_GBK" w:cs="Times New Roman"/>
                                      <w:color w:val="000000"/>
                                      <w:kern w:val="0"/>
                                      <w:sz w:val="32"/>
                                      <w:szCs w:val="32"/>
                                    </w:rPr>
                                  </w:pPr>
                                  <w:r>
                                    <w:rPr>
                                      <w:rFonts w:hint="eastAsia" w:ascii="Times New Roman" w:hAnsi="Times New Roman" w:eastAsia="方正仿宋_GBK" w:cs="Times New Roman"/>
                                      <w:color w:val="000000"/>
                                      <w:kern w:val="0"/>
                                      <w:sz w:val="32"/>
                                      <w:szCs w:val="32"/>
                                    </w:rPr>
                                    <w:t>附件：</w:t>
                                  </w:r>
                                  <w:r>
                                    <w:rPr>
                                      <w:rFonts w:ascii="Times New Roman" w:hAnsi="Times New Roman" w:eastAsia="方正仿宋_GBK" w:cs="Times New Roman"/>
                                      <w:color w:val="000000"/>
                                      <w:kern w:val="0"/>
                                      <w:sz w:val="32"/>
                                      <w:szCs w:val="32"/>
                                    </w:rPr>
                                    <w:t>市装饰中心202</w:t>
                                  </w:r>
                                  <w:r>
                                    <w:rPr>
                                      <w:rFonts w:hint="eastAsia" w:ascii="Times New Roman" w:hAnsi="Times New Roman" w:eastAsia="方正仿宋_GBK" w:cs="Times New Roman"/>
                                      <w:color w:val="000000"/>
                                      <w:kern w:val="0"/>
                                      <w:sz w:val="32"/>
                                      <w:szCs w:val="32"/>
                                      <w:lang w:val="en-US" w:eastAsia="zh-CN"/>
                                    </w:rPr>
                                    <w:t>4</w:t>
                                  </w:r>
                                  <w:r>
                                    <w:rPr>
                                      <w:rFonts w:ascii="Times New Roman" w:hAnsi="Times New Roman" w:eastAsia="方正仿宋_GBK" w:cs="Times New Roman"/>
                                      <w:color w:val="000000"/>
                                      <w:kern w:val="0"/>
                                      <w:sz w:val="32"/>
                                      <w:szCs w:val="32"/>
                                    </w:rPr>
                                    <w:t>年度部门整体绩效评价指标体系得分表</w:t>
                                  </w:r>
                                </w:p>
                                <w:p w14:paraId="71FF3136"/>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文本框 4" o:spid="_x0000_s1026" o:spt="202" type="#_x0000_t202" style="position:absolute;left:0pt;margin-left:-47.7pt;margin-top:-52.55pt;height:50.8pt;width:504.95pt;z-index:251659264;mso-width-relative:page;mso-height-relative:margin;mso-height-percent:200;" filled="f" stroked="f" coordsize="21600,21600" o:gfxdata="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HyxoANgAAAALAQAADwAAAAAAAAABACAAAAAiAAAAZHJzL2Rvd25yZXYueG1s&#10;UEsBAhQAFAAAAAgAh07iQMggSV+/AQAAdgMAAA4AAAAAAAAAAQAgAAAAJwEAAGRycy9lMm9Eb2Mu&#10;eG1sUEsFBgAAAAAGAAYAWQEAAFgFAAAAAA==&#10;">
                      <v:fill on="f" focussize="0,0"/>
                      <v:stroke on="f"/>
                      <v:imagedata o:title=""/>
                      <o:lock v:ext="edit" aspectratio="f"/>
                      <v:textbox style="mso-fit-shape-to-text:t;">
                        <w:txbxContent>
                          <w:p w14:paraId="2B843CF8">
                            <w:pPr>
                              <w:spacing w:line="560" w:lineRule="exact"/>
                              <w:ind w:firstLine="640" w:firstLineChars="200"/>
                              <w:rPr>
                                <w:rFonts w:ascii="Times New Roman" w:hAnsi="Times New Roman" w:eastAsia="方正仿宋_GBK" w:cs="Times New Roman"/>
                                <w:color w:val="000000"/>
                                <w:kern w:val="0"/>
                                <w:sz w:val="32"/>
                                <w:szCs w:val="32"/>
                              </w:rPr>
                            </w:pPr>
                            <w:r>
                              <w:rPr>
                                <w:rFonts w:hint="eastAsia" w:ascii="Times New Roman" w:hAnsi="Times New Roman" w:eastAsia="方正仿宋_GBK" w:cs="Times New Roman"/>
                                <w:color w:val="000000"/>
                                <w:kern w:val="0"/>
                                <w:sz w:val="32"/>
                                <w:szCs w:val="32"/>
                              </w:rPr>
                              <w:t>附件：</w:t>
                            </w:r>
                            <w:r>
                              <w:rPr>
                                <w:rFonts w:ascii="Times New Roman" w:hAnsi="Times New Roman" w:eastAsia="方正仿宋_GBK" w:cs="Times New Roman"/>
                                <w:color w:val="000000"/>
                                <w:kern w:val="0"/>
                                <w:sz w:val="32"/>
                                <w:szCs w:val="32"/>
                              </w:rPr>
                              <w:t>市装饰中心202</w:t>
                            </w:r>
                            <w:r>
                              <w:rPr>
                                <w:rFonts w:hint="eastAsia" w:ascii="Times New Roman" w:hAnsi="Times New Roman" w:eastAsia="方正仿宋_GBK" w:cs="Times New Roman"/>
                                <w:color w:val="000000"/>
                                <w:kern w:val="0"/>
                                <w:sz w:val="32"/>
                                <w:szCs w:val="32"/>
                                <w:lang w:val="en-US" w:eastAsia="zh-CN"/>
                              </w:rPr>
                              <w:t>4</w:t>
                            </w:r>
                            <w:r>
                              <w:rPr>
                                <w:rFonts w:ascii="Times New Roman" w:hAnsi="Times New Roman" w:eastAsia="方正仿宋_GBK" w:cs="Times New Roman"/>
                                <w:color w:val="000000"/>
                                <w:kern w:val="0"/>
                                <w:sz w:val="32"/>
                                <w:szCs w:val="32"/>
                              </w:rPr>
                              <w:t>年度部门整体绩效评价指标体系得分表</w:t>
                            </w:r>
                          </w:p>
                          <w:p w14:paraId="71FF3136"/>
                        </w:txbxContent>
                      </v:textbox>
                    </v:shape>
                  </w:pict>
                </mc:Fallback>
              </mc:AlternateContent>
            </w:r>
            <w:r>
              <w:rPr>
                <w:rFonts w:hint="eastAsia" w:ascii="仿宋" w:hAnsi="仿宋" w:cs="宋体"/>
                <w:b/>
                <w:bCs/>
                <w:color w:val="000000"/>
                <w:kern w:val="0"/>
                <w:sz w:val="24"/>
                <w:szCs w:val="24"/>
              </w:rPr>
              <w:t>一级指标</w:t>
            </w:r>
          </w:p>
        </w:tc>
        <w:tc>
          <w:tcPr>
            <w:tcW w:w="1843" w:type="dxa"/>
            <w:shd w:val="clear" w:color="auto" w:fill="auto"/>
            <w:vAlign w:val="center"/>
          </w:tcPr>
          <w:p w14:paraId="4E683257">
            <w:pPr>
              <w:widowControl/>
              <w:jc w:val="center"/>
              <w:rPr>
                <w:rFonts w:ascii="仿宋" w:hAnsi="仿宋" w:cs="宋体"/>
                <w:b/>
                <w:bCs/>
                <w:color w:val="000000"/>
                <w:kern w:val="0"/>
                <w:sz w:val="24"/>
                <w:szCs w:val="24"/>
              </w:rPr>
            </w:pPr>
            <w:r>
              <w:rPr>
                <w:rFonts w:hint="eastAsia" w:ascii="仿宋" w:hAnsi="仿宋" w:cs="宋体"/>
                <w:b/>
                <w:bCs/>
                <w:color w:val="000000"/>
                <w:kern w:val="0"/>
                <w:sz w:val="24"/>
                <w:szCs w:val="24"/>
              </w:rPr>
              <w:t>二级指标</w:t>
            </w:r>
          </w:p>
        </w:tc>
        <w:tc>
          <w:tcPr>
            <w:tcW w:w="3827" w:type="dxa"/>
            <w:shd w:val="clear" w:color="auto" w:fill="auto"/>
            <w:vAlign w:val="center"/>
          </w:tcPr>
          <w:p w14:paraId="590DFF25">
            <w:pPr>
              <w:widowControl/>
              <w:jc w:val="center"/>
              <w:rPr>
                <w:rFonts w:ascii="仿宋" w:hAnsi="仿宋" w:cs="宋体"/>
                <w:b/>
                <w:bCs/>
                <w:color w:val="000000"/>
                <w:kern w:val="0"/>
                <w:sz w:val="24"/>
                <w:szCs w:val="24"/>
              </w:rPr>
            </w:pPr>
            <w:r>
              <w:rPr>
                <w:rFonts w:hint="eastAsia" w:ascii="仿宋" w:hAnsi="仿宋" w:cs="宋体"/>
                <w:b/>
                <w:bCs/>
                <w:color w:val="000000"/>
                <w:kern w:val="0"/>
                <w:sz w:val="24"/>
                <w:szCs w:val="24"/>
              </w:rPr>
              <w:t>三级指标（参考）</w:t>
            </w:r>
          </w:p>
        </w:tc>
        <w:tc>
          <w:tcPr>
            <w:tcW w:w="1476" w:type="dxa"/>
            <w:shd w:val="clear" w:color="auto" w:fill="auto"/>
            <w:vAlign w:val="center"/>
          </w:tcPr>
          <w:p w14:paraId="027728AE">
            <w:pPr>
              <w:widowControl/>
              <w:jc w:val="center"/>
              <w:rPr>
                <w:rFonts w:ascii="仿宋" w:hAnsi="仿宋" w:cs="宋体"/>
                <w:b/>
                <w:bCs/>
                <w:color w:val="000000"/>
                <w:kern w:val="0"/>
                <w:sz w:val="24"/>
                <w:szCs w:val="24"/>
              </w:rPr>
            </w:pPr>
            <w:r>
              <w:rPr>
                <w:rFonts w:hint="eastAsia" w:ascii="仿宋" w:hAnsi="仿宋" w:cs="宋体"/>
                <w:b/>
                <w:bCs/>
                <w:color w:val="000000"/>
                <w:kern w:val="0"/>
                <w:sz w:val="24"/>
                <w:szCs w:val="24"/>
              </w:rPr>
              <w:t>权重</w:t>
            </w:r>
          </w:p>
        </w:tc>
        <w:tc>
          <w:tcPr>
            <w:tcW w:w="1770" w:type="dxa"/>
            <w:vAlign w:val="center"/>
          </w:tcPr>
          <w:p w14:paraId="67678905">
            <w:pPr>
              <w:widowControl/>
              <w:jc w:val="center"/>
              <w:rPr>
                <w:rFonts w:ascii="仿宋" w:hAnsi="仿宋" w:cs="宋体"/>
                <w:b/>
                <w:bCs/>
                <w:color w:val="000000"/>
                <w:kern w:val="0"/>
                <w:sz w:val="24"/>
                <w:szCs w:val="24"/>
              </w:rPr>
            </w:pPr>
            <w:r>
              <w:rPr>
                <w:rFonts w:hint="eastAsia" w:ascii="仿宋" w:hAnsi="仿宋" w:cs="宋体"/>
                <w:b/>
                <w:bCs/>
                <w:color w:val="000000"/>
                <w:kern w:val="0"/>
                <w:sz w:val="24"/>
                <w:szCs w:val="24"/>
              </w:rPr>
              <w:t>得分</w:t>
            </w:r>
          </w:p>
        </w:tc>
        <w:tc>
          <w:tcPr>
            <w:tcW w:w="3720" w:type="dxa"/>
            <w:shd w:val="clear" w:color="auto" w:fill="auto"/>
            <w:vAlign w:val="center"/>
          </w:tcPr>
          <w:p w14:paraId="47EC264D">
            <w:pPr>
              <w:widowControl/>
              <w:jc w:val="center"/>
              <w:rPr>
                <w:rFonts w:ascii="仿宋" w:hAnsi="仿宋" w:cs="宋体"/>
                <w:b/>
                <w:bCs/>
                <w:color w:val="000000"/>
                <w:kern w:val="0"/>
                <w:sz w:val="24"/>
                <w:szCs w:val="24"/>
              </w:rPr>
            </w:pPr>
            <w:r>
              <w:rPr>
                <w:rFonts w:hint="eastAsia" w:ascii="仿宋" w:hAnsi="仿宋" w:cs="宋体"/>
                <w:b/>
                <w:bCs/>
                <w:color w:val="000000"/>
                <w:kern w:val="0"/>
                <w:sz w:val="24"/>
                <w:szCs w:val="24"/>
              </w:rPr>
              <w:t>评价要点</w:t>
            </w:r>
          </w:p>
        </w:tc>
      </w:tr>
      <w:tr w14:paraId="6B79419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restart"/>
            <w:shd w:val="clear" w:color="auto" w:fill="auto"/>
            <w:vAlign w:val="center"/>
          </w:tcPr>
          <w:p w14:paraId="560AD746">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w:t>
            </w:r>
            <w:r>
              <w:rPr>
                <w:rFonts w:hint="eastAsia" w:ascii="方正仿宋_GB2312" w:hAnsi="方正仿宋_GB2312" w:eastAsia="方正仿宋_GB2312" w:cs="方正仿宋_GB2312"/>
                <w:color w:val="000000"/>
                <w:kern w:val="0"/>
                <w:sz w:val="24"/>
                <w:szCs w:val="24"/>
              </w:rPr>
              <w:t>部门决策（</w:t>
            </w:r>
            <w:r>
              <w:rPr>
                <w:rFonts w:hint="eastAsia" w:ascii="Times New Roman" w:hAnsi="Times New Roman" w:eastAsia="方正仿宋_GB2312" w:cs="Times New Roman"/>
                <w:color w:val="000000"/>
                <w:kern w:val="0"/>
                <w:sz w:val="24"/>
                <w:szCs w:val="24"/>
              </w:rPr>
              <w:t>15</w:t>
            </w:r>
            <w:r>
              <w:rPr>
                <w:rFonts w:hint="eastAsia" w:ascii="方正仿宋_GB2312" w:hAnsi="方正仿宋_GB2312" w:eastAsia="方正仿宋_GB2312" w:cs="方正仿宋_GB2312"/>
                <w:color w:val="000000"/>
                <w:kern w:val="0"/>
                <w:sz w:val="24"/>
                <w:szCs w:val="24"/>
              </w:rPr>
              <w:t>分）</w:t>
            </w:r>
          </w:p>
        </w:tc>
        <w:tc>
          <w:tcPr>
            <w:tcW w:w="1843" w:type="dxa"/>
            <w:vMerge w:val="restart"/>
            <w:shd w:val="clear" w:color="auto" w:fill="auto"/>
            <w:vAlign w:val="center"/>
          </w:tcPr>
          <w:p w14:paraId="3129A63F">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A1</w:t>
            </w:r>
            <w:r>
              <w:rPr>
                <w:rFonts w:hint="eastAsia" w:ascii="方正仿宋_GB2312" w:hAnsi="方正仿宋_GB2312" w:eastAsia="方正仿宋_GB2312" w:cs="方正仿宋_GB2312"/>
                <w:color w:val="000000"/>
                <w:kern w:val="0"/>
                <w:sz w:val="24"/>
                <w:szCs w:val="24"/>
              </w:rPr>
              <w:t>决策机制（</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138BD6EF">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A11</w:t>
            </w:r>
            <w:r>
              <w:rPr>
                <w:rFonts w:hint="eastAsia" w:ascii="方正仿宋_GB2312" w:hAnsi="方正仿宋_GB2312" w:eastAsia="方正仿宋_GB2312" w:cs="方正仿宋_GB2312"/>
                <w:color w:val="000000"/>
                <w:kern w:val="0"/>
                <w:sz w:val="24"/>
                <w:szCs w:val="24"/>
              </w:rPr>
              <w:t>决策制度的规范性</w:t>
            </w:r>
          </w:p>
        </w:tc>
        <w:tc>
          <w:tcPr>
            <w:tcW w:w="1476" w:type="dxa"/>
            <w:shd w:val="clear" w:color="auto" w:fill="auto"/>
            <w:vAlign w:val="center"/>
          </w:tcPr>
          <w:p w14:paraId="0EAD64C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2FC3F19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vAlign w:val="center"/>
          </w:tcPr>
          <w:p w14:paraId="636CE4FA">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决策制度规范</w:t>
            </w:r>
          </w:p>
        </w:tc>
      </w:tr>
      <w:tr w14:paraId="078C87F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5039AD6E">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3D34BFE5">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413CC17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A12</w:t>
            </w:r>
            <w:r>
              <w:rPr>
                <w:rFonts w:hint="eastAsia" w:ascii="方正仿宋_GB2312" w:hAnsi="方正仿宋_GB2312" w:eastAsia="方正仿宋_GB2312" w:cs="方正仿宋_GB2312"/>
                <w:color w:val="000000"/>
                <w:kern w:val="0"/>
                <w:sz w:val="24"/>
                <w:szCs w:val="24"/>
              </w:rPr>
              <w:t>决策流程的科学性</w:t>
            </w:r>
          </w:p>
        </w:tc>
        <w:tc>
          <w:tcPr>
            <w:tcW w:w="1476" w:type="dxa"/>
            <w:shd w:val="clear" w:color="auto" w:fill="auto"/>
            <w:vAlign w:val="center"/>
          </w:tcPr>
          <w:p w14:paraId="29D9A7DB">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 xml:space="preserve">2 </w:t>
            </w:r>
          </w:p>
        </w:tc>
        <w:tc>
          <w:tcPr>
            <w:tcW w:w="1770" w:type="dxa"/>
            <w:vAlign w:val="center"/>
          </w:tcPr>
          <w:p w14:paraId="3EA3C60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vAlign w:val="center"/>
          </w:tcPr>
          <w:p w14:paraId="0055FEB0">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决策流程科学</w:t>
            </w:r>
          </w:p>
        </w:tc>
      </w:tr>
      <w:tr w14:paraId="5EE8DEE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6869E614">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727B8DC1">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6458A7D4">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A13</w:t>
            </w:r>
            <w:r>
              <w:rPr>
                <w:rFonts w:hint="eastAsia" w:ascii="方正仿宋_GB2312" w:hAnsi="方正仿宋_GB2312" w:eastAsia="方正仿宋_GB2312" w:cs="方正仿宋_GB2312"/>
                <w:color w:val="000000"/>
                <w:kern w:val="0"/>
                <w:sz w:val="24"/>
                <w:szCs w:val="24"/>
              </w:rPr>
              <w:t>决策执行监督制衡机制</w:t>
            </w:r>
          </w:p>
        </w:tc>
        <w:tc>
          <w:tcPr>
            <w:tcW w:w="1476" w:type="dxa"/>
            <w:shd w:val="clear" w:color="auto" w:fill="auto"/>
            <w:vAlign w:val="center"/>
          </w:tcPr>
          <w:p w14:paraId="75346D6F">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40448BEB">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4D154CCA">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决策执行监督互相制衡</w:t>
            </w:r>
          </w:p>
        </w:tc>
      </w:tr>
      <w:tr w14:paraId="49956CB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0F95AC7">
            <w:pPr>
              <w:widowControl/>
              <w:jc w:val="left"/>
              <w:rPr>
                <w:rFonts w:ascii="方正仿宋_GB2312" w:hAnsi="方正仿宋_GB2312" w:eastAsia="方正仿宋_GB2312" w:cs="方正仿宋_GB2312"/>
                <w:color w:val="000000"/>
                <w:kern w:val="0"/>
                <w:sz w:val="24"/>
                <w:szCs w:val="24"/>
              </w:rPr>
            </w:pPr>
          </w:p>
        </w:tc>
        <w:tc>
          <w:tcPr>
            <w:tcW w:w="1843" w:type="dxa"/>
            <w:vMerge w:val="restart"/>
            <w:shd w:val="clear" w:color="auto" w:fill="auto"/>
            <w:vAlign w:val="center"/>
          </w:tcPr>
          <w:p w14:paraId="3C936D9D">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A2</w:t>
            </w:r>
            <w:r>
              <w:rPr>
                <w:rFonts w:hint="eastAsia" w:ascii="方正仿宋_GB2312" w:hAnsi="方正仿宋_GB2312" w:eastAsia="方正仿宋_GB2312" w:cs="方正仿宋_GB2312"/>
                <w:color w:val="000000"/>
                <w:kern w:val="0"/>
                <w:sz w:val="24"/>
                <w:szCs w:val="24"/>
              </w:rPr>
              <w:t>年度工作计划（</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7412F9B6">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A21</w:t>
            </w:r>
            <w:r>
              <w:rPr>
                <w:rFonts w:hint="eastAsia" w:ascii="方正仿宋_GB2312" w:hAnsi="方正仿宋_GB2312" w:eastAsia="方正仿宋_GB2312" w:cs="方正仿宋_GB2312"/>
                <w:color w:val="000000"/>
                <w:kern w:val="0"/>
                <w:sz w:val="24"/>
                <w:szCs w:val="24"/>
              </w:rPr>
              <w:t>年度工作计划明确性</w:t>
            </w:r>
          </w:p>
        </w:tc>
        <w:tc>
          <w:tcPr>
            <w:tcW w:w="1476" w:type="dxa"/>
            <w:shd w:val="clear" w:color="auto" w:fill="auto"/>
            <w:vAlign w:val="center"/>
          </w:tcPr>
          <w:p w14:paraId="351D7D2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3B8C1C0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vAlign w:val="center"/>
          </w:tcPr>
          <w:p w14:paraId="6CD73BF5">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年度工作计划明确</w:t>
            </w:r>
          </w:p>
        </w:tc>
      </w:tr>
      <w:tr w14:paraId="4C09CC8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5592990C">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50BE6B99">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0BC325FC">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A22</w:t>
            </w:r>
            <w:r>
              <w:rPr>
                <w:rFonts w:hint="eastAsia" w:ascii="方正仿宋_GB2312" w:hAnsi="方正仿宋_GB2312" w:eastAsia="方正仿宋_GB2312" w:cs="方正仿宋_GB2312"/>
                <w:color w:val="000000"/>
                <w:kern w:val="0"/>
                <w:sz w:val="24"/>
                <w:szCs w:val="24"/>
              </w:rPr>
              <w:t>年度工作计划与部门职能的匹配性</w:t>
            </w:r>
          </w:p>
        </w:tc>
        <w:tc>
          <w:tcPr>
            <w:tcW w:w="1476" w:type="dxa"/>
            <w:shd w:val="clear" w:color="auto" w:fill="auto"/>
            <w:vAlign w:val="center"/>
          </w:tcPr>
          <w:p w14:paraId="7271990E">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3C4B1DE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5C9A0CDF">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年度工作计划与部门职能匹配</w:t>
            </w:r>
          </w:p>
        </w:tc>
      </w:tr>
      <w:tr w14:paraId="0669F39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17DAEB6D">
            <w:pPr>
              <w:widowControl/>
              <w:jc w:val="left"/>
              <w:rPr>
                <w:rFonts w:ascii="方正仿宋_GB2312" w:hAnsi="方正仿宋_GB2312" w:eastAsia="方正仿宋_GB2312" w:cs="方正仿宋_GB2312"/>
                <w:color w:val="000000"/>
                <w:kern w:val="0"/>
                <w:sz w:val="24"/>
                <w:szCs w:val="24"/>
              </w:rPr>
            </w:pPr>
          </w:p>
        </w:tc>
        <w:tc>
          <w:tcPr>
            <w:tcW w:w="1843" w:type="dxa"/>
            <w:vMerge w:val="restart"/>
            <w:shd w:val="clear" w:color="auto" w:fill="auto"/>
            <w:vAlign w:val="center"/>
          </w:tcPr>
          <w:p w14:paraId="463C99FA">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A3</w:t>
            </w:r>
            <w:r>
              <w:rPr>
                <w:rFonts w:hint="eastAsia" w:ascii="方正仿宋_GB2312" w:hAnsi="方正仿宋_GB2312" w:eastAsia="方正仿宋_GB2312" w:cs="方正仿宋_GB2312"/>
                <w:color w:val="000000"/>
                <w:kern w:val="0"/>
                <w:sz w:val="24"/>
                <w:szCs w:val="24"/>
              </w:rPr>
              <w:t>部门预算编制（</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7F739B10">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A31</w:t>
            </w:r>
            <w:r>
              <w:rPr>
                <w:rFonts w:hint="eastAsia" w:ascii="方正仿宋_GB2312" w:hAnsi="方正仿宋_GB2312" w:eastAsia="方正仿宋_GB2312" w:cs="方正仿宋_GB2312"/>
                <w:color w:val="000000"/>
                <w:kern w:val="0"/>
                <w:sz w:val="24"/>
                <w:szCs w:val="24"/>
              </w:rPr>
              <w:t>预算编制科学规范</w:t>
            </w:r>
          </w:p>
        </w:tc>
        <w:tc>
          <w:tcPr>
            <w:tcW w:w="1476" w:type="dxa"/>
            <w:shd w:val="clear" w:color="auto" w:fill="auto"/>
            <w:vAlign w:val="center"/>
          </w:tcPr>
          <w:p w14:paraId="160A4A31">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4F16786E">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vAlign w:val="center"/>
          </w:tcPr>
          <w:p w14:paraId="21F44FB6">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预算编制科学</w:t>
            </w:r>
          </w:p>
        </w:tc>
      </w:tr>
      <w:tr w14:paraId="336861D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7F152A8C">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07C8ABAE">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027B602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A32</w:t>
            </w:r>
            <w:r>
              <w:rPr>
                <w:rFonts w:hint="eastAsia" w:ascii="方正仿宋_GB2312" w:hAnsi="方正仿宋_GB2312" w:eastAsia="方正仿宋_GB2312" w:cs="方正仿宋_GB2312"/>
                <w:color w:val="000000"/>
                <w:kern w:val="0"/>
                <w:sz w:val="24"/>
                <w:szCs w:val="24"/>
              </w:rPr>
              <w:t>预算编制与重点工作任务的匹配性</w:t>
            </w:r>
          </w:p>
        </w:tc>
        <w:tc>
          <w:tcPr>
            <w:tcW w:w="1476" w:type="dxa"/>
            <w:shd w:val="clear" w:color="auto" w:fill="auto"/>
            <w:vAlign w:val="center"/>
          </w:tcPr>
          <w:p w14:paraId="7765C33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2C1A4BE7">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20519549">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预算编制与重点工作匹配</w:t>
            </w:r>
          </w:p>
        </w:tc>
      </w:tr>
      <w:tr w14:paraId="1976108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92" w:hRule="atLeast"/>
        </w:trPr>
        <w:tc>
          <w:tcPr>
            <w:tcW w:w="1219" w:type="dxa"/>
            <w:vMerge w:val="restart"/>
            <w:shd w:val="clear" w:color="auto" w:fill="auto"/>
            <w:noWrap/>
            <w:vAlign w:val="center"/>
          </w:tcPr>
          <w:p w14:paraId="1E46241F">
            <w:pPr>
              <w:widowControl/>
              <w:jc w:val="left"/>
              <w:rPr>
                <w:rFonts w:ascii="方正仿宋_GB2312" w:hAnsi="方正仿宋_GB2312" w:eastAsia="方正仿宋_GB2312" w:cs="方正仿宋_GB2312"/>
                <w:color w:val="000000"/>
                <w:kern w:val="0"/>
                <w:sz w:val="24"/>
                <w:szCs w:val="24"/>
              </w:rPr>
            </w:pPr>
          </w:p>
          <w:p w14:paraId="387814F0">
            <w:pPr>
              <w:widowControl/>
              <w:jc w:val="left"/>
              <w:rPr>
                <w:rFonts w:ascii="方正仿宋_GB2312" w:hAnsi="方正仿宋_GB2312" w:eastAsia="方正仿宋_GB2312" w:cs="方正仿宋_GB2312"/>
                <w:color w:val="000000"/>
                <w:kern w:val="0"/>
                <w:sz w:val="24"/>
                <w:szCs w:val="24"/>
              </w:rPr>
            </w:pPr>
          </w:p>
          <w:p w14:paraId="3EAD0EB8">
            <w:pPr>
              <w:widowControl/>
              <w:jc w:val="left"/>
              <w:rPr>
                <w:rFonts w:ascii="方正仿宋_GB2312" w:hAnsi="方正仿宋_GB2312" w:eastAsia="方正仿宋_GB2312" w:cs="方正仿宋_GB2312"/>
                <w:color w:val="000000"/>
                <w:kern w:val="0"/>
                <w:sz w:val="24"/>
                <w:szCs w:val="24"/>
              </w:rPr>
            </w:pPr>
          </w:p>
          <w:p w14:paraId="633C3CEC">
            <w:pPr>
              <w:widowControl/>
              <w:jc w:val="left"/>
              <w:rPr>
                <w:rFonts w:ascii="方正仿宋_GB2312" w:hAnsi="方正仿宋_GB2312" w:eastAsia="方正仿宋_GB2312" w:cs="方正仿宋_GB2312"/>
                <w:color w:val="000000"/>
                <w:kern w:val="0"/>
                <w:sz w:val="24"/>
                <w:szCs w:val="24"/>
              </w:rPr>
            </w:pPr>
          </w:p>
          <w:p w14:paraId="500B3211">
            <w:pPr>
              <w:widowControl/>
              <w:jc w:val="left"/>
              <w:rPr>
                <w:rFonts w:ascii="方正仿宋_GB2312" w:hAnsi="方正仿宋_GB2312" w:eastAsia="方正仿宋_GB2312" w:cs="方正仿宋_GB2312"/>
                <w:color w:val="000000"/>
                <w:kern w:val="0"/>
                <w:sz w:val="24"/>
                <w:szCs w:val="24"/>
              </w:rPr>
            </w:pPr>
          </w:p>
          <w:p w14:paraId="0D380AAC">
            <w:pPr>
              <w:widowControl/>
              <w:jc w:val="left"/>
              <w:rPr>
                <w:rFonts w:ascii="方正仿宋_GB2312" w:hAnsi="方正仿宋_GB2312" w:eastAsia="方正仿宋_GB2312" w:cs="方正仿宋_GB2312"/>
                <w:color w:val="000000"/>
                <w:kern w:val="0"/>
                <w:sz w:val="24"/>
                <w:szCs w:val="24"/>
              </w:rPr>
            </w:pPr>
          </w:p>
          <w:p w14:paraId="68CE2699">
            <w:pPr>
              <w:widowControl/>
              <w:jc w:val="left"/>
              <w:rPr>
                <w:rFonts w:ascii="方正仿宋_GB2312" w:hAnsi="方正仿宋_GB2312" w:eastAsia="方正仿宋_GB2312" w:cs="方正仿宋_GB2312"/>
                <w:color w:val="000000"/>
                <w:kern w:val="0"/>
                <w:sz w:val="24"/>
                <w:szCs w:val="24"/>
              </w:rPr>
            </w:pPr>
          </w:p>
          <w:p w14:paraId="092F92AF">
            <w:pPr>
              <w:widowControl/>
              <w:jc w:val="left"/>
              <w:rPr>
                <w:rFonts w:ascii="方正仿宋_GB2312" w:hAnsi="方正仿宋_GB2312" w:eastAsia="方正仿宋_GB2312" w:cs="方正仿宋_GB2312"/>
                <w:color w:val="000000"/>
                <w:kern w:val="0"/>
                <w:sz w:val="24"/>
                <w:szCs w:val="24"/>
              </w:rPr>
            </w:pPr>
          </w:p>
          <w:p w14:paraId="375E0EAD">
            <w:pPr>
              <w:widowControl/>
              <w:jc w:val="left"/>
              <w:rPr>
                <w:rFonts w:ascii="方正仿宋_GB2312" w:hAnsi="方正仿宋_GB2312" w:eastAsia="方正仿宋_GB2312" w:cs="方正仿宋_GB2312"/>
                <w:color w:val="000000"/>
                <w:kern w:val="0"/>
                <w:sz w:val="24"/>
                <w:szCs w:val="24"/>
              </w:rPr>
            </w:pPr>
          </w:p>
          <w:p w14:paraId="5E5BAEF0">
            <w:pPr>
              <w:widowControl/>
              <w:jc w:val="left"/>
              <w:rPr>
                <w:rFonts w:ascii="方正仿宋_GB2312" w:hAnsi="方正仿宋_GB2312" w:eastAsia="方正仿宋_GB2312" w:cs="方正仿宋_GB2312"/>
                <w:color w:val="000000"/>
                <w:kern w:val="0"/>
                <w:sz w:val="24"/>
                <w:szCs w:val="24"/>
              </w:rPr>
            </w:pPr>
          </w:p>
          <w:p w14:paraId="37764F24">
            <w:pPr>
              <w:widowControl/>
              <w:jc w:val="left"/>
              <w:rPr>
                <w:rFonts w:ascii="方正仿宋_GB2312" w:hAnsi="方正仿宋_GB2312" w:eastAsia="方正仿宋_GB2312" w:cs="方正仿宋_GB2312"/>
                <w:color w:val="000000"/>
                <w:kern w:val="0"/>
                <w:sz w:val="24"/>
                <w:szCs w:val="24"/>
              </w:rPr>
            </w:pPr>
          </w:p>
          <w:p w14:paraId="1E585EFB">
            <w:pPr>
              <w:widowControl/>
              <w:jc w:val="left"/>
              <w:rPr>
                <w:rFonts w:ascii="方正仿宋_GB2312" w:hAnsi="方正仿宋_GB2312" w:eastAsia="方正仿宋_GB2312" w:cs="方正仿宋_GB2312"/>
                <w:color w:val="000000"/>
                <w:kern w:val="0"/>
                <w:sz w:val="24"/>
                <w:szCs w:val="24"/>
              </w:rPr>
            </w:pPr>
          </w:p>
          <w:p w14:paraId="291C370F">
            <w:pPr>
              <w:widowControl/>
              <w:jc w:val="left"/>
              <w:rPr>
                <w:rFonts w:ascii="方正仿宋_GB2312" w:hAnsi="方正仿宋_GB2312" w:eastAsia="方正仿宋_GB2312" w:cs="方正仿宋_GB2312"/>
                <w:color w:val="000000"/>
                <w:kern w:val="0"/>
                <w:sz w:val="24"/>
                <w:szCs w:val="24"/>
              </w:rPr>
            </w:pPr>
          </w:p>
          <w:p w14:paraId="410B6AEC">
            <w:pPr>
              <w:widowControl/>
              <w:jc w:val="left"/>
              <w:rPr>
                <w:rFonts w:ascii="方正仿宋_GB2312" w:hAnsi="方正仿宋_GB2312" w:eastAsia="方正仿宋_GB2312" w:cs="方正仿宋_GB2312"/>
                <w:color w:val="000000"/>
                <w:kern w:val="0"/>
                <w:sz w:val="24"/>
                <w:szCs w:val="24"/>
              </w:rPr>
            </w:pPr>
          </w:p>
          <w:p w14:paraId="1ED9EAED">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w:t>
            </w:r>
            <w:r>
              <w:rPr>
                <w:rFonts w:hint="eastAsia" w:ascii="方正仿宋_GB2312" w:hAnsi="方正仿宋_GB2312" w:eastAsia="方正仿宋_GB2312" w:cs="方正仿宋_GB2312"/>
                <w:color w:val="000000"/>
                <w:kern w:val="0"/>
                <w:sz w:val="24"/>
                <w:szCs w:val="24"/>
              </w:rPr>
              <w:t>部门管理（</w:t>
            </w:r>
            <w:r>
              <w:rPr>
                <w:rFonts w:hint="eastAsia" w:ascii="Times New Roman" w:hAnsi="Times New Roman" w:eastAsia="方正仿宋_GB2312" w:cs="Times New Roman"/>
                <w:color w:val="000000"/>
                <w:kern w:val="0"/>
                <w:sz w:val="24"/>
                <w:szCs w:val="24"/>
              </w:rPr>
              <w:t>20</w:t>
            </w:r>
            <w:r>
              <w:rPr>
                <w:rFonts w:hint="eastAsia" w:ascii="方正仿宋_GB2312" w:hAnsi="方正仿宋_GB2312" w:eastAsia="方正仿宋_GB2312" w:cs="方正仿宋_GB2312"/>
                <w:color w:val="000000"/>
                <w:kern w:val="0"/>
                <w:sz w:val="24"/>
                <w:szCs w:val="24"/>
              </w:rPr>
              <w:t>分）</w:t>
            </w:r>
          </w:p>
        </w:tc>
        <w:tc>
          <w:tcPr>
            <w:tcW w:w="1843" w:type="dxa"/>
            <w:vMerge w:val="restart"/>
            <w:shd w:val="clear" w:color="auto" w:fill="auto"/>
            <w:vAlign w:val="center"/>
          </w:tcPr>
          <w:p w14:paraId="4136AA3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B1</w:t>
            </w:r>
            <w:r>
              <w:rPr>
                <w:rFonts w:hint="eastAsia" w:ascii="方正仿宋_GB2312" w:hAnsi="方正仿宋_GB2312" w:eastAsia="方正仿宋_GB2312" w:cs="方正仿宋_GB2312"/>
                <w:color w:val="000000"/>
                <w:kern w:val="0"/>
                <w:sz w:val="24"/>
                <w:szCs w:val="24"/>
              </w:rPr>
              <w:t>预算执行（</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4250CF8B">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B11</w:t>
            </w:r>
            <w:r>
              <w:rPr>
                <w:rFonts w:hint="eastAsia" w:ascii="方正仿宋_GB2312" w:hAnsi="方正仿宋_GB2312" w:eastAsia="方正仿宋_GB2312" w:cs="方正仿宋_GB2312"/>
                <w:color w:val="000000"/>
                <w:kern w:val="0"/>
                <w:sz w:val="24"/>
                <w:szCs w:val="24"/>
              </w:rPr>
              <w:t>部门预算执行率</w:t>
            </w:r>
          </w:p>
        </w:tc>
        <w:tc>
          <w:tcPr>
            <w:tcW w:w="1476" w:type="dxa"/>
            <w:shd w:val="clear" w:color="auto" w:fill="auto"/>
            <w:vAlign w:val="center"/>
          </w:tcPr>
          <w:p w14:paraId="7D39DD19">
            <w:pPr>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74253F5B">
            <w:pPr>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53F53EB0">
            <w:pPr>
              <w:widowControl/>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执行率是否达标</w:t>
            </w:r>
          </w:p>
        </w:tc>
      </w:tr>
      <w:tr w14:paraId="1783A8E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51354595">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730CB9CB">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2FC3BC3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B12</w:t>
            </w:r>
            <w:r>
              <w:rPr>
                <w:rFonts w:hint="eastAsia" w:ascii="方正仿宋_GB2312" w:hAnsi="方正仿宋_GB2312" w:eastAsia="方正仿宋_GB2312" w:cs="方正仿宋_GB2312"/>
                <w:color w:val="000000"/>
                <w:kern w:val="0"/>
                <w:sz w:val="24"/>
                <w:szCs w:val="24"/>
              </w:rPr>
              <w:t>“三公”经费控制率</w:t>
            </w:r>
          </w:p>
        </w:tc>
        <w:tc>
          <w:tcPr>
            <w:tcW w:w="1476" w:type="dxa"/>
            <w:shd w:val="clear" w:color="auto" w:fill="auto"/>
            <w:vAlign w:val="center"/>
          </w:tcPr>
          <w:p w14:paraId="0A003DEC">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6055B6D7">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48392853">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“三公经费”是否超支</w:t>
            </w:r>
          </w:p>
        </w:tc>
      </w:tr>
      <w:tr w14:paraId="04D4F2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6886E9DD">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1031C396">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4F4761BD">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B13</w:t>
            </w:r>
            <w:r>
              <w:rPr>
                <w:rFonts w:hint="eastAsia" w:ascii="方正仿宋_GB2312" w:hAnsi="方正仿宋_GB2312" w:eastAsia="方正仿宋_GB2312" w:cs="方正仿宋_GB2312"/>
                <w:color w:val="000000"/>
                <w:kern w:val="0"/>
                <w:sz w:val="24"/>
                <w:szCs w:val="24"/>
              </w:rPr>
              <w:t xml:space="preserve">预决算信息公开情况 </w:t>
            </w:r>
          </w:p>
        </w:tc>
        <w:tc>
          <w:tcPr>
            <w:tcW w:w="1476" w:type="dxa"/>
            <w:shd w:val="clear" w:color="auto" w:fill="auto"/>
            <w:vAlign w:val="center"/>
          </w:tcPr>
          <w:p w14:paraId="2E73EDF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6771F61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4E68F4BE">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是否在“双平台”进行公开，内容和时限是否符合要求</w:t>
            </w:r>
          </w:p>
        </w:tc>
      </w:tr>
      <w:tr w14:paraId="66E73AE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7AB57B98">
            <w:pPr>
              <w:widowControl/>
              <w:jc w:val="left"/>
              <w:rPr>
                <w:rFonts w:ascii="方正仿宋_GB2312" w:hAnsi="方正仿宋_GB2312" w:eastAsia="方正仿宋_GB2312" w:cs="方正仿宋_GB2312"/>
                <w:color w:val="000000"/>
                <w:kern w:val="0"/>
                <w:sz w:val="24"/>
                <w:szCs w:val="24"/>
              </w:rPr>
            </w:pPr>
          </w:p>
        </w:tc>
        <w:tc>
          <w:tcPr>
            <w:tcW w:w="1843" w:type="dxa"/>
            <w:vMerge w:val="restart"/>
            <w:shd w:val="clear" w:color="auto" w:fill="auto"/>
            <w:vAlign w:val="center"/>
          </w:tcPr>
          <w:p w14:paraId="7C387173">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B2</w:t>
            </w:r>
            <w:r>
              <w:rPr>
                <w:rFonts w:hint="eastAsia" w:ascii="方正仿宋_GB2312" w:hAnsi="方正仿宋_GB2312" w:eastAsia="方正仿宋_GB2312" w:cs="方正仿宋_GB2312"/>
                <w:color w:val="000000"/>
                <w:kern w:val="0"/>
                <w:sz w:val="24"/>
                <w:szCs w:val="24"/>
              </w:rPr>
              <w:t>收支管理（</w:t>
            </w:r>
            <w:r>
              <w:rPr>
                <w:rFonts w:hint="eastAsia" w:ascii="Times New Roman" w:hAnsi="Times New Roman" w:eastAsia="方正仿宋_GB2312" w:cs="Times New Roman"/>
                <w:color w:val="000000"/>
                <w:kern w:val="0"/>
                <w:sz w:val="24"/>
                <w:szCs w:val="24"/>
              </w:rPr>
              <w:t>2</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156A8BD8">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B21</w:t>
            </w:r>
            <w:r>
              <w:rPr>
                <w:rFonts w:hint="eastAsia" w:ascii="方正仿宋_GB2312" w:hAnsi="方正仿宋_GB2312" w:eastAsia="方正仿宋_GB2312" w:cs="方正仿宋_GB2312"/>
                <w:color w:val="000000"/>
                <w:kern w:val="0"/>
                <w:sz w:val="24"/>
                <w:szCs w:val="24"/>
              </w:rPr>
              <w:t>收支管理制度健全性</w:t>
            </w:r>
          </w:p>
        </w:tc>
        <w:tc>
          <w:tcPr>
            <w:tcW w:w="1476" w:type="dxa"/>
            <w:shd w:val="clear" w:color="auto" w:fill="auto"/>
            <w:vAlign w:val="center"/>
          </w:tcPr>
          <w:p w14:paraId="24DDD5FF">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7609EC54">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4AC9B893">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收支管理制度健全</w:t>
            </w:r>
          </w:p>
        </w:tc>
      </w:tr>
      <w:tr w14:paraId="62D174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27E46B4D">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6B0BE98A">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0221957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B22</w:t>
            </w:r>
            <w:r>
              <w:rPr>
                <w:rFonts w:hint="eastAsia" w:ascii="方正仿宋_GB2312" w:hAnsi="方正仿宋_GB2312" w:eastAsia="方正仿宋_GB2312" w:cs="方正仿宋_GB2312"/>
                <w:color w:val="000000"/>
                <w:kern w:val="0"/>
                <w:sz w:val="24"/>
                <w:szCs w:val="24"/>
              </w:rPr>
              <w:t>收支管理是否按制度执行</w:t>
            </w:r>
          </w:p>
        </w:tc>
        <w:tc>
          <w:tcPr>
            <w:tcW w:w="1476" w:type="dxa"/>
            <w:shd w:val="clear" w:color="auto" w:fill="auto"/>
            <w:vAlign w:val="center"/>
          </w:tcPr>
          <w:p w14:paraId="301B38D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50F5CBF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37DB2AF2">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收支管理按制度执行</w:t>
            </w:r>
          </w:p>
        </w:tc>
      </w:tr>
      <w:tr w14:paraId="356BF6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1C1BED37">
            <w:pPr>
              <w:widowControl/>
              <w:jc w:val="left"/>
              <w:rPr>
                <w:rFonts w:ascii="仿宋" w:hAnsi="仿宋" w:cs="宋体"/>
                <w:color w:val="000000"/>
                <w:kern w:val="0"/>
                <w:sz w:val="24"/>
                <w:szCs w:val="24"/>
              </w:rPr>
            </w:pPr>
          </w:p>
        </w:tc>
        <w:tc>
          <w:tcPr>
            <w:tcW w:w="1843" w:type="dxa"/>
            <w:vMerge w:val="restart"/>
            <w:shd w:val="clear" w:color="auto" w:fill="auto"/>
            <w:vAlign w:val="center"/>
          </w:tcPr>
          <w:p w14:paraId="252E644B">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B3</w:t>
            </w:r>
            <w:r>
              <w:rPr>
                <w:rFonts w:hint="eastAsia" w:ascii="方正仿宋_GB2312" w:hAnsi="方正仿宋_GB2312" w:eastAsia="方正仿宋_GB2312" w:cs="方正仿宋_GB2312"/>
                <w:color w:val="000000"/>
                <w:kern w:val="0"/>
                <w:sz w:val="24"/>
                <w:szCs w:val="24"/>
              </w:rPr>
              <w:t>资产管理（</w:t>
            </w:r>
            <w:r>
              <w:rPr>
                <w:rFonts w:hint="eastAsia" w:ascii="Times New Roman" w:hAnsi="Times New Roman" w:eastAsia="方正仿宋_GB2312" w:cs="Times New Roman"/>
                <w:color w:val="000000"/>
                <w:kern w:val="0"/>
                <w:sz w:val="24"/>
                <w:szCs w:val="24"/>
              </w:rPr>
              <w:t>2</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4083E15A">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B31</w:t>
            </w:r>
            <w:r>
              <w:rPr>
                <w:rFonts w:hint="eastAsia" w:ascii="方正仿宋_GB2312" w:hAnsi="方正仿宋_GB2312" w:eastAsia="方正仿宋_GB2312" w:cs="方正仿宋_GB2312"/>
                <w:color w:val="000000"/>
                <w:kern w:val="0"/>
                <w:sz w:val="24"/>
                <w:szCs w:val="24"/>
              </w:rPr>
              <w:t>资产管理制度健全性</w:t>
            </w:r>
          </w:p>
        </w:tc>
        <w:tc>
          <w:tcPr>
            <w:tcW w:w="1476" w:type="dxa"/>
            <w:shd w:val="clear" w:color="auto" w:fill="auto"/>
            <w:vAlign w:val="center"/>
          </w:tcPr>
          <w:p w14:paraId="7A6818F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1D3C1DA3">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7F08D82A">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资产管理制度健全</w:t>
            </w:r>
          </w:p>
        </w:tc>
      </w:tr>
      <w:tr w14:paraId="7C91523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72C4E753">
            <w:pPr>
              <w:widowControl/>
              <w:jc w:val="left"/>
              <w:rPr>
                <w:rFonts w:ascii="仿宋" w:hAnsi="仿宋" w:cs="宋体"/>
                <w:color w:val="000000"/>
                <w:kern w:val="0"/>
                <w:sz w:val="24"/>
                <w:szCs w:val="24"/>
              </w:rPr>
            </w:pPr>
          </w:p>
        </w:tc>
        <w:tc>
          <w:tcPr>
            <w:tcW w:w="1843" w:type="dxa"/>
            <w:vMerge w:val="continue"/>
            <w:vAlign w:val="center"/>
          </w:tcPr>
          <w:p w14:paraId="0EF3A17F">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679081C3">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B32</w:t>
            </w:r>
            <w:r>
              <w:rPr>
                <w:rFonts w:hint="eastAsia" w:ascii="方正仿宋_GB2312" w:hAnsi="方正仿宋_GB2312" w:eastAsia="方正仿宋_GB2312" w:cs="方正仿宋_GB2312"/>
                <w:color w:val="000000"/>
                <w:kern w:val="0"/>
                <w:sz w:val="24"/>
                <w:szCs w:val="24"/>
              </w:rPr>
              <w:t>资产管理是否按制度执行</w:t>
            </w:r>
          </w:p>
        </w:tc>
        <w:tc>
          <w:tcPr>
            <w:tcW w:w="1476" w:type="dxa"/>
            <w:shd w:val="clear" w:color="auto" w:fill="auto"/>
            <w:vAlign w:val="center"/>
          </w:tcPr>
          <w:p w14:paraId="6B9409CD">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1BF05A2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13AB6BDE">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资产管理按制度执行</w:t>
            </w:r>
          </w:p>
        </w:tc>
      </w:tr>
      <w:tr w14:paraId="46E2913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477B32AE">
            <w:pPr>
              <w:widowControl/>
              <w:jc w:val="left"/>
              <w:rPr>
                <w:rFonts w:ascii="仿宋" w:hAnsi="仿宋" w:cs="宋体"/>
                <w:color w:val="000000"/>
                <w:kern w:val="0"/>
                <w:sz w:val="24"/>
                <w:szCs w:val="24"/>
              </w:rPr>
            </w:pPr>
          </w:p>
        </w:tc>
        <w:tc>
          <w:tcPr>
            <w:tcW w:w="1843" w:type="dxa"/>
            <w:vMerge w:val="restart"/>
            <w:shd w:val="clear" w:color="auto" w:fill="auto"/>
            <w:vAlign w:val="center"/>
          </w:tcPr>
          <w:p w14:paraId="2E72A5C8">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B4</w:t>
            </w:r>
            <w:r>
              <w:rPr>
                <w:rFonts w:hint="eastAsia" w:ascii="方正仿宋_GB2312" w:hAnsi="方正仿宋_GB2312" w:eastAsia="方正仿宋_GB2312" w:cs="方正仿宋_GB2312"/>
                <w:color w:val="000000"/>
                <w:kern w:val="0"/>
                <w:sz w:val="24"/>
                <w:szCs w:val="24"/>
              </w:rPr>
              <w:t>政府采购管理（</w:t>
            </w:r>
            <w:r>
              <w:rPr>
                <w:rFonts w:hint="eastAsia" w:ascii="Times New Roman" w:hAnsi="Times New Roman" w:eastAsia="方正仿宋_GB2312" w:cs="Times New Roman"/>
                <w:color w:val="000000"/>
                <w:kern w:val="0"/>
                <w:sz w:val="24"/>
                <w:szCs w:val="24"/>
              </w:rPr>
              <w:t>2</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658A6F5A">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B41</w:t>
            </w:r>
            <w:r>
              <w:rPr>
                <w:rFonts w:hint="eastAsia" w:ascii="方正仿宋_GB2312" w:hAnsi="方正仿宋_GB2312" w:eastAsia="方正仿宋_GB2312" w:cs="方正仿宋_GB2312"/>
                <w:color w:val="000000"/>
                <w:kern w:val="0"/>
                <w:sz w:val="24"/>
                <w:szCs w:val="24"/>
              </w:rPr>
              <w:t>政府采购管理制度健全性</w:t>
            </w:r>
          </w:p>
        </w:tc>
        <w:tc>
          <w:tcPr>
            <w:tcW w:w="1476" w:type="dxa"/>
            <w:shd w:val="clear" w:color="auto" w:fill="auto"/>
            <w:vAlign w:val="center"/>
          </w:tcPr>
          <w:p w14:paraId="1CE16895">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79A500AC">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21B40425">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政府采购管理制度健全</w:t>
            </w:r>
          </w:p>
        </w:tc>
      </w:tr>
      <w:tr w14:paraId="7B7FAD4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59453879">
            <w:pPr>
              <w:widowControl/>
              <w:jc w:val="left"/>
              <w:rPr>
                <w:rFonts w:ascii="仿宋" w:hAnsi="仿宋" w:cs="宋体"/>
                <w:color w:val="000000"/>
                <w:kern w:val="0"/>
                <w:sz w:val="24"/>
                <w:szCs w:val="24"/>
              </w:rPr>
            </w:pPr>
          </w:p>
        </w:tc>
        <w:tc>
          <w:tcPr>
            <w:tcW w:w="1843" w:type="dxa"/>
            <w:vMerge w:val="continue"/>
            <w:vAlign w:val="center"/>
          </w:tcPr>
          <w:p w14:paraId="49AB6D44">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03D9092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B42</w:t>
            </w:r>
            <w:r>
              <w:rPr>
                <w:rFonts w:hint="eastAsia" w:ascii="方正仿宋_GB2312" w:hAnsi="方正仿宋_GB2312" w:eastAsia="方正仿宋_GB2312" w:cs="方正仿宋_GB2312"/>
                <w:color w:val="000000"/>
                <w:kern w:val="0"/>
                <w:sz w:val="24"/>
                <w:szCs w:val="24"/>
              </w:rPr>
              <w:t>政府采购管理是否按制度执行</w:t>
            </w:r>
          </w:p>
        </w:tc>
        <w:tc>
          <w:tcPr>
            <w:tcW w:w="1476" w:type="dxa"/>
            <w:tcBorders>
              <w:bottom w:val="single" w:color="auto" w:sz="8" w:space="0"/>
            </w:tcBorders>
            <w:shd w:val="clear" w:color="auto" w:fill="auto"/>
            <w:vAlign w:val="center"/>
          </w:tcPr>
          <w:p w14:paraId="210CC26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tcBorders>
              <w:bottom w:val="single" w:color="auto" w:sz="8" w:space="0"/>
            </w:tcBorders>
            <w:vAlign w:val="center"/>
          </w:tcPr>
          <w:p w14:paraId="64EE771D">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tcBorders>
              <w:bottom w:val="single" w:color="auto" w:sz="8" w:space="0"/>
            </w:tcBorders>
            <w:shd w:val="clear" w:color="auto" w:fill="auto"/>
            <w:vAlign w:val="center"/>
          </w:tcPr>
          <w:p w14:paraId="4EA09D99">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政府采购按制度执行</w:t>
            </w:r>
          </w:p>
        </w:tc>
      </w:tr>
      <w:tr w14:paraId="57943CA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1FD55B7A">
            <w:pPr>
              <w:widowControl/>
              <w:jc w:val="left"/>
              <w:rPr>
                <w:rFonts w:ascii="仿宋" w:hAnsi="仿宋" w:cs="宋体"/>
                <w:color w:val="000000"/>
                <w:kern w:val="0"/>
                <w:sz w:val="24"/>
                <w:szCs w:val="24"/>
              </w:rPr>
            </w:pPr>
          </w:p>
        </w:tc>
        <w:tc>
          <w:tcPr>
            <w:tcW w:w="1843" w:type="dxa"/>
            <w:vMerge w:val="restart"/>
            <w:shd w:val="clear" w:color="auto" w:fill="auto"/>
            <w:vAlign w:val="center"/>
          </w:tcPr>
          <w:p w14:paraId="4C3ED956">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B5</w:t>
            </w:r>
            <w:r>
              <w:rPr>
                <w:rFonts w:hint="eastAsia" w:ascii="方正仿宋_GB2312" w:hAnsi="方正仿宋_GB2312" w:eastAsia="方正仿宋_GB2312" w:cs="方正仿宋_GB2312"/>
                <w:color w:val="000000"/>
                <w:kern w:val="0"/>
                <w:sz w:val="24"/>
                <w:szCs w:val="24"/>
              </w:rPr>
              <w:t>内部控制管理（</w:t>
            </w:r>
            <w:r>
              <w:rPr>
                <w:rFonts w:hint="eastAsia" w:ascii="Times New Roman" w:hAnsi="Times New Roman" w:eastAsia="方正仿宋_GB2312" w:cs="Times New Roman"/>
                <w:color w:val="000000"/>
                <w:kern w:val="0"/>
                <w:sz w:val="24"/>
                <w:szCs w:val="24"/>
              </w:rPr>
              <w:t>6</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0DB83A46">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B51</w:t>
            </w:r>
            <w:r>
              <w:rPr>
                <w:rFonts w:hint="eastAsia" w:ascii="方正仿宋_GB2312" w:hAnsi="方正仿宋_GB2312" w:eastAsia="方正仿宋_GB2312" w:cs="方正仿宋_GB2312"/>
                <w:color w:val="000000"/>
                <w:kern w:val="0"/>
                <w:sz w:val="24"/>
                <w:szCs w:val="24"/>
              </w:rPr>
              <w:t>内部控制建设情况</w:t>
            </w:r>
          </w:p>
        </w:tc>
        <w:tc>
          <w:tcPr>
            <w:tcW w:w="1476" w:type="dxa"/>
            <w:shd w:val="clear" w:color="auto" w:fill="auto"/>
            <w:vAlign w:val="center"/>
          </w:tcPr>
          <w:p w14:paraId="197C4D74">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0A968DA4">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43C9E058">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是否有内部控制制度落实在手册等文本上，是否建设内控信息系统</w:t>
            </w:r>
          </w:p>
        </w:tc>
      </w:tr>
      <w:tr w14:paraId="2E69793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2E5E81F7">
            <w:pPr>
              <w:widowControl/>
              <w:jc w:val="left"/>
              <w:rPr>
                <w:rFonts w:ascii="仿宋" w:hAnsi="仿宋" w:cs="宋体"/>
                <w:color w:val="000000"/>
                <w:kern w:val="0"/>
                <w:sz w:val="24"/>
                <w:szCs w:val="24"/>
              </w:rPr>
            </w:pPr>
          </w:p>
        </w:tc>
        <w:tc>
          <w:tcPr>
            <w:tcW w:w="1843" w:type="dxa"/>
            <w:vMerge w:val="continue"/>
            <w:vAlign w:val="center"/>
          </w:tcPr>
          <w:p w14:paraId="27937F5B">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6B2E1C6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B52</w:t>
            </w:r>
            <w:r>
              <w:rPr>
                <w:rFonts w:hint="eastAsia" w:ascii="方正仿宋_GB2312" w:hAnsi="方正仿宋_GB2312" w:eastAsia="方正仿宋_GB2312" w:cs="方正仿宋_GB2312"/>
                <w:color w:val="000000"/>
                <w:kern w:val="0"/>
                <w:sz w:val="24"/>
                <w:szCs w:val="24"/>
              </w:rPr>
              <w:t>内部控制执行情况</w:t>
            </w:r>
          </w:p>
        </w:tc>
        <w:tc>
          <w:tcPr>
            <w:tcW w:w="1476" w:type="dxa"/>
            <w:shd w:val="clear" w:color="auto" w:fill="auto"/>
            <w:vAlign w:val="center"/>
          </w:tcPr>
          <w:p w14:paraId="29CF10CE">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6AA314CB">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vAlign w:val="center"/>
          </w:tcPr>
          <w:p w14:paraId="5D3812FC">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是否按制度执行</w:t>
            </w:r>
          </w:p>
        </w:tc>
      </w:tr>
      <w:tr w14:paraId="2045802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445DC1C8">
            <w:pPr>
              <w:widowControl/>
              <w:jc w:val="left"/>
              <w:rPr>
                <w:rFonts w:ascii="仿宋" w:hAnsi="仿宋" w:cs="宋体"/>
                <w:color w:val="000000"/>
                <w:kern w:val="0"/>
                <w:sz w:val="24"/>
                <w:szCs w:val="24"/>
              </w:rPr>
            </w:pPr>
          </w:p>
        </w:tc>
        <w:tc>
          <w:tcPr>
            <w:tcW w:w="1843" w:type="dxa"/>
            <w:vMerge w:val="continue"/>
            <w:vAlign w:val="center"/>
          </w:tcPr>
          <w:p w14:paraId="36AEBE0F">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6FF89DBC">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B53</w:t>
            </w:r>
            <w:r>
              <w:rPr>
                <w:rFonts w:hint="eastAsia" w:ascii="方正仿宋_GB2312" w:hAnsi="方正仿宋_GB2312" w:eastAsia="方正仿宋_GB2312" w:cs="方正仿宋_GB2312"/>
                <w:color w:val="000000"/>
                <w:kern w:val="0"/>
                <w:sz w:val="24"/>
                <w:szCs w:val="24"/>
              </w:rPr>
              <w:t>内部控制监督评价</w:t>
            </w:r>
          </w:p>
        </w:tc>
        <w:tc>
          <w:tcPr>
            <w:tcW w:w="1476" w:type="dxa"/>
            <w:shd w:val="clear" w:color="auto" w:fill="auto"/>
            <w:vAlign w:val="center"/>
          </w:tcPr>
          <w:p w14:paraId="57EC833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4653C87C">
            <w:pPr>
              <w:widowControl/>
              <w:jc w:val="center"/>
              <w:rPr>
                <w:rFonts w:hint="eastAsia" w:ascii="Times New Roman" w:hAnsi="Times New Roman" w:eastAsia="方正仿宋_GB2312" w:cs="Times New Roman"/>
                <w:color w:val="000000"/>
                <w:kern w:val="0"/>
                <w:sz w:val="24"/>
                <w:szCs w:val="24"/>
                <w:lang w:eastAsia="zh-CN"/>
              </w:rPr>
            </w:pPr>
            <w:r>
              <w:rPr>
                <w:rFonts w:hint="eastAsia" w:ascii="Times New Roman" w:hAnsi="Times New Roman" w:eastAsia="方正仿宋_GB2312" w:cs="Times New Roman"/>
                <w:color w:val="000000"/>
                <w:kern w:val="0"/>
                <w:sz w:val="24"/>
                <w:szCs w:val="24"/>
                <w:lang w:val="en-US" w:eastAsia="zh-CN"/>
              </w:rPr>
              <w:t>2</w:t>
            </w:r>
          </w:p>
        </w:tc>
        <w:tc>
          <w:tcPr>
            <w:tcW w:w="3720" w:type="dxa"/>
            <w:shd w:val="clear" w:color="auto" w:fill="auto"/>
            <w:vAlign w:val="center"/>
          </w:tcPr>
          <w:p w14:paraId="0363B2B4">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内控监督评价开展情况</w:t>
            </w:r>
          </w:p>
        </w:tc>
      </w:tr>
      <w:tr w14:paraId="4CF7D4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44805EA4">
            <w:pPr>
              <w:widowControl/>
              <w:jc w:val="left"/>
              <w:rPr>
                <w:rFonts w:ascii="仿宋" w:hAnsi="仿宋" w:cs="宋体"/>
                <w:color w:val="000000"/>
                <w:kern w:val="0"/>
                <w:sz w:val="24"/>
                <w:szCs w:val="24"/>
              </w:rPr>
            </w:pPr>
          </w:p>
        </w:tc>
        <w:tc>
          <w:tcPr>
            <w:tcW w:w="1843" w:type="dxa"/>
            <w:vMerge w:val="restart"/>
            <w:shd w:val="clear" w:color="auto" w:fill="auto"/>
            <w:vAlign w:val="center"/>
          </w:tcPr>
          <w:p w14:paraId="119769C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B6</w:t>
            </w:r>
            <w:r>
              <w:rPr>
                <w:rFonts w:hint="eastAsia" w:ascii="方正仿宋_GB2312" w:hAnsi="方正仿宋_GB2312" w:eastAsia="方正仿宋_GB2312" w:cs="方正仿宋_GB2312"/>
                <w:color w:val="000000"/>
                <w:kern w:val="0"/>
                <w:sz w:val="24"/>
                <w:szCs w:val="24"/>
              </w:rPr>
              <w:t>预算绩效管理（</w:t>
            </w:r>
            <w:r>
              <w:rPr>
                <w:rFonts w:hint="eastAsia" w:ascii="Times New Roman" w:hAnsi="Times New Roman" w:eastAsia="方正仿宋_GB2312" w:cs="Times New Roman"/>
                <w:color w:val="000000"/>
                <w:kern w:val="0"/>
                <w:sz w:val="24"/>
                <w:szCs w:val="24"/>
              </w:rPr>
              <w:t>3</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464D1BDD">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B61</w:t>
            </w:r>
            <w:r>
              <w:rPr>
                <w:rFonts w:hint="eastAsia" w:ascii="方正仿宋_GB2312" w:hAnsi="方正仿宋_GB2312" w:eastAsia="方正仿宋_GB2312" w:cs="方正仿宋_GB2312"/>
                <w:color w:val="000000"/>
                <w:kern w:val="0"/>
                <w:sz w:val="24"/>
                <w:szCs w:val="24"/>
              </w:rPr>
              <w:t>组织管理情况</w:t>
            </w:r>
          </w:p>
        </w:tc>
        <w:tc>
          <w:tcPr>
            <w:tcW w:w="1476" w:type="dxa"/>
            <w:shd w:val="clear" w:color="auto" w:fill="auto"/>
            <w:vAlign w:val="center"/>
          </w:tcPr>
          <w:p w14:paraId="416BA87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7CFFBAB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1081AA97">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考察是否有预决算制度和岗位职责分配</w:t>
            </w:r>
          </w:p>
        </w:tc>
      </w:tr>
      <w:tr w14:paraId="5E8B3FD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A3F8ACC">
            <w:pPr>
              <w:widowControl/>
              <w:jc w:val="left"/>
              <w:rPr>
                <w:rFonts w:ascii="仿宋" w:hAnsi="仿宋" w:cs="宋体"/>
                <w:color w:val="000000"/>
                <w:kern w:val="0"/>
                <w:sz w:val="24"/>
                <w:szCs w:val="24"/>
              </w:rPr>
            </w:pPr>
          </w:p>
        </w:tc>
        <w:tc>
          <w:tcPr>
            <w:tcW w:w="1843" w:type="dxa"/>
            <w:vMerge w:val="continue"/>
            <w:vAlign w:val="center"/>
          </w:tcPr>
          <w:p w14:paraId="36EBF770">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0055D603">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B62</w:t>
            </w:r>
            <w:r>
              <w:rPr>
                <w:rFonts w:hint="eastAsia" w:ascii="方正仿宋_GB2312" w:hAnsi="方正仿宋_GB2312" w:eastAsia="方正仿宋_GB2312" w:cs="方正仿宋_GB2312"/>
                <w:color w:val="000000"/>
                <w:kern w:val="0"/>
                <w:sz w:val="24"/>
                <w:szCs w:val="24"/>
              </w:rPr>
              <w:t>工作开展情况</w:t>
            </w:r>
          </w:p>
        </w:tc>
        <w:tc>
          <w:tcPr>
            <w:tcW w:w="1476" w:type="dxa"/>
            <w:shd w:val="clear" w:color="auto" w:fill="auto"/>
            <w:vAlign w:val="center"/>
          </w:tcPr>
          <w:p w14:paraId="12B664A1">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14B5066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2BE6FE4F">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通过考察预算执行进度评价</w:t>
            </w:r>
          </w:p>
        </w:tc>
      </w:tr>
      <w:tr w14:paraId="03CB539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1999A39E">
            <w:pPr>
              <w:widowControl/>
              <w:jc w:val="left"/>
              <w:rPr>
                <w:rFonts w:ascii="仿宋" w:hAnsi="仿宋" w:cs="宋体"/>
                <w:color w:val="000000"/>
                <w:kern w:val="0"/>
                <w:sz w:val="24"/>
                <w:szCs w:val="24"/>
              </w:rPr>
            </w:pPr>
          </w:p>
        </w:tc>
        <w:tc>
          <w:tcPr>
            <w:tcW w:w="1843" w:type="dxa"/>
            <w:vMerge w:val="continue"/>
            <w:vAlign w:val="center"/>
          </w:tcPr>
          <w:p w14:paraId="2ACA78D6">
            <w:pPr>
              <w:widowControl/>
              <w:jc w:val="left"/>
              <w:rPr>
                <w:rFonts w:ascii="仿宋" w:hAnsi="仿宋" w:cs="宋体"/>
                <w:color w:val="000000"/>
                <w:kern w:val="0"/>
                <w:sz w:val="24"/>
                <w:szCs w:val="24"/>
              </w:rPr>
            </w:pPr>
          </w:p>
        </w:tc>
        <w:tc>
          <w:tcPr>
            <w:tcW w:w="3827" w:type="dxa"/>
            <w:shd w:val="clear" w:color="auto" w:fill="auto"/>
            <w:vAlign w:val="center"/>
          </w:tcPr>
          <w:p w14:paraId="0084830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B63</w:t>
            </w:r>
            <w:r>
              <w:rPr>
                <w:rFonts w:hint="eastAsia" w:ascii="方正仿宋_GB2312" w:hAnsi="方正仿宋_GB2312" w:eastAsia="方正仿宋_GB2312" w:cs="方正仿宋_GB2312"/>
                <w:color w:val="000000"/>
                <w:kern w:val="0"/>
                <w:sz w:val="24"/>
                <w:szCs w:val="24"/>
              </w:rPr>
              <w:t>绩效信息公开</w:t>
            </w:r>
          </w:p>
        </w:tc>
        <w:tc>
          <w:tcPr>
            <w:tcW w:w="1476" w:type="dxa"/>
            <w:shd w:val="clear" w:color="auto" w:fill="auto"/>
            <w:vAlign w:val="center"/>
          </w:tcPr>
          <w:p w14:paraId="687FD615">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1770" w:type="dxa"/>
            <w:vAlign w:val="center"/>
          </w:tcPr>
          <w:p w14:paraId="76B97CF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w:t>
            </w:r>
          </w:p>
        </w:tc>
        <w:tc>
          <w:tcPr>
            <w:tcW w:w="3720" w:type="dxa"/>
            <w:shd w:val="clear" w:color="auto" w:fill="auto"/>
            <w:vAlign w:val="center"/>
          </w:tcPr>
          <w:p w14:paraId="14704DAB">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是否在“双平台”进行公开，内容和时限是否符合要求</w:t>
            </w:r>
          </w:p>
        </w:tc>
      </w:tr>
      <w:tr w14:paraId="436599D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restart"/>
            <w:shd w:val="clear" w:color="auto" w:fill="auto"/>
            <w:vAlign w:val="center"/>
          </w:tcPr>
          <w:p w14:paraId="387F9C72">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w:t>
            </w:r>
            <w:r>
              <w:rPr>
                <w:rFonts w:hint="eastAsia" w:ascii="方正仿宋_GB2312" w:hAnsi="方正仿宋_GB2312" w:eastAsia="方正仿宋_GB2312" w:cs="方正仿宋_GB2312"/>
                <w:color w:val="000000"/>
                <w:kern w:val="0"/>
                <w:sz w:val="24"/>
                <w:szCs w:val="24"/>
              </w:rPr>
              <w:t>部门履职(部门职能履职情况)（</w:t>
            </w:r>
            <w:r>
              <w:rPr>
                <w:rFonts w:hint="eastAsia" w:ascii="Times New Roman" w:hAnsi="Times New Roman" w:eastAsia="方正仿宋_GB2312" w:cs="Times New Roman"/>
                <w:color w:val="000000"/>
                <w:kern w:val="0"/>
                <w:sz w:val="24"/>
                <w:szCs w:val="24"/>
              </w:rPr>
              <w:t>40</w:t>
            </w:r>
            <w:r>
              <w:rPr>
                <w:rFonts w:hint="eastAsia" w:ascii="方正仿宋_GB2312" w:hAnsi="方正仿宋_GB2312" w:eastAsia="方正仿宋_GB2312" w:cs="方正仿宋_GB2312"/>
                <w:color w:val="000000"/>
                <w:kern w:val="0"/>
                <w:sz w:val="24"/>
                <w:szCs w:val="24"/>
              </w:rPr>
              <w:t>分）</w:t>
            </w:r>
          </w:p>
        </w:tc>
        <w:tc>
          <w:tcPr>
            <w:tcW w:w="1843" w:type="dxa"/>
            <w:vMerge w:val="restart"/>
            <w:shd w:val="clear" w:color="auto" w:fill="auto"/>
            <w:vAlign w:val="center"/>
          </w:tcPr>
          <w:p w14:paraId="6757BD0C">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C1</w:t>
            </w:r>
            <w:r>
              <w:rPr>
                <w:rFonts w:hint="eastAsia" w:ascii="方正仿宋_GB2312" w:hAnsi="方正仿宋_GB2312" w:eastAsia="方正仿宋_GB2312" w:cs="方正仿宋_GB2312"/>
                <w:color w:val="000000"/>
                <w:kern w:val="0"/>
                <w:sz w:val="24"/>
                <w:szCs w:val="24"/>
              </w:rPr>
              <w:t>装饰企业管理有关工作（</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4407A4FC">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C11年度</w:t>
            </w:r>
            <w:r>
              <w:rPr>
                <w:rFonts w:hint="eastAsia" w:ascii="方正仿宋_GB2312" w:hAnsi="方正仿宋_GB2312" w:eastAsia="方正仿宋_GB2312" w:cs="方正仿宋_GB2312"/>
                <w:color w:val="000000"/>
                <w:kern w:val="0"/>
                <w:sz w:val="24"/>
                <w:szCs w:val="24"/>
              </w:rPr>
              <w:t>任务是否完成</w:t>
            </w:r>
          </w:p>
        </w:tc>
        <w:tc>
          <w:tcPr>
            <w:tcW w:w="1476" w:type="dxa"/>
            <w:shd w:val="clear" w:color="auto" w:fill="auto"/>
            <w:vAlign w:val="center"/>
          </w:tcPr>
          <w:p w14:paraId="4842D0E3">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420C25D4">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53D24208">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目标任务完成情况</w:t>
            </w:r>
          </w:p>
        </w:tc>
      </w:tr>
      <w:tr w14:paraId="4EA83F5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D4AD79D">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3A7D9C9E">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3BE27CF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C12</w:t>
            </w:r>
            <w:r>
              <w:rPr>
                <w:rFonts w:hint="eastAsia" w:ascii="方正仿宋_GB2312" w:hAnsi="方正仿宋_GB2312" w:eastAsia="方正仿宋_GB2312" w:cs="方正仿宋_GB2312"/>
                <w:color w:val="000000"/>
                <w:kern w:val="0"/>
                <w:sz w:val="24"/>
                <w:szCs w:val="24"/>
              </w:rPr>
              <w:t>年度任务完成质量</w:t>
            </w:r>
          </w:p>
        </w:tc>
        <w:tc>
          <w:tcPr>
            <w:tcW w:w="1476" w:type="dxa"/>
            <w:shd w:val="clear" w:color="auto" w:fill="auto"/>
            <w:vAlign w:val="center"/>
          </w:tcPr>
          <w:p w14:paraId="173A7D87">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1770" w:type="dxa"/>
            <w:vAlign w:val="center"/>
          </w:tcPr>
          <w:p w14:paraId="4B059254">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3720" w:type="dxa"/>
            <w:shd w:val="clear" w:color="auto" w:fill="auto"/>
            <w:vAlign w:val="center"/>
          </w:tcPr>
          <w:p w14:paraId="6C778EA5">
            <w:pPr>
              <w:widowControl/>
              <w:jc w:val="left"/>
              <w:rPr>
                <w:rFonts w:ascii="方正仿宋_GB2312" w:hAnsi="方正仿宋_GB2312" w:eastAsia="方正仿宋_GB2312" w:cs="方正仿宋_GB2312"/>
                <w:color w:val="000000"/>
                <w:kern w:val="0"/>
                <w:sz w:val="24"/>
                <w:szCs w:val="24"/>
              </w:rPr>
            </w:pPr>
          </w:p>
        </w:tc>
      </w:tr>
      <w:tr w14:paraId="7370D1F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42FB7C63">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7E6DEE1C">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3F9C434C">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C13</w:t>
            </w:r>
            <w:r>
              <w:rPr>
                <w:rFonts w:hint="eastAsia" w:ascii="方正仿宋_GB2312" w:hAnsi="方正仿宋_GB2312" w:eastAsia="方正仿宋_GB2312" w:cs="方正仿宋_GB2312"/>
                <w:color w:val="000000"/>
                <w:kern w:val="0"/>
                <w:sz w:val="24"/>
                <w:szCs w:val="24"/>
              </w:rPr>
              <w:t>年度任务完成时效</w:t>
            </w:r>
          </w:p>
        </w:tc>
        <w:tc>
          <w:tcPr>
            <w:tcW w:w="1476" w:type="dxa"/>
            <w:shd w:val="clear" w:color="auto" w:fill="auto"/>
            <w:vAlign w:val="center"/>
          </w:tcPr>
          <w:p w14:paraId="7BF5738C">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5775DFF7">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446EB9D2">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是否按时完成</w:t>
            </w:r>
          </w:p>
        </w:tc>
      </w:tr>
      <w:tr w14:paraId="18EC88E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436C243B">
            <w:pPr>
              <w:widowControl/>
              <w:jc w:val="left"/>
              <w:rPr>
                <w:rFonts w:ascii="方正仿宋_GB2312" w:hAnsi="方正仿宋_GB2312" w:eastAsia="方正仿宋_GB2312" w:cs="方正仿宋_GB2312"/>
                <w:color w:val="000000"/>
                <w:kern w:val="0"/>
                <w:sz w:val="24"/>
                <w:szCs w:val="24"/>
              </w:rPr>
            </w:pPr>
          </w:p>
        </w:tc>
        <w:tc>
          <w:tcPr>
            <w:tcW w:w="1843" w:type="dxa"/>
            <w:vMerge w:val="restart"/>
            <w:shd w:val="clear" w:color="auto" w:fill="auto"/>
            <w:vAlign w:val="center"/>
          </w:tcPr>
          <w:p w14:paraId="75779EB3">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C2</w:t>
            </w:r>
            <w:r>
              <w:rPr>
                <w:rFonts w:hint="eastAsia" w:ascii="方正仿宋_GB2312" w:hAnsi="方正仿宋_GB2312" w:eastAsia="方正仿宋_GB2312" w:cs="方正仿宋_GB2312"/>
                <w:color w:val="000000"/>
                <w:kern w:val="0"/>
                <w:sz w:val="24"/>
                <w:szCs w:val="24"/>
              </w:rPr>
              <w:t>装饰市场管理有关工作（</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6D28C5D8">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C21</w:t>
            </w:r>
            <w:r>
              <w:rPr>
                <w:rFonts w:hint="eastAsia" w:ascii="方正仿宋_GB2312" w:hAnsi="方正仿宋_GB2312" w:eastAsia="方正仿宋_GB2312" w:cs="方正仿宋_GB2312"/>
                <w:color w:val="000000"/>
                <w:kern w:val="0"/>
                <w:sz w:val="24"/>
                <w:szCs w:val="24"/>
              </w:rPr>
              <w:t>年度任务是否完成</w:t>
            </w:r>
          </w:p>
        </w:tc>
        <w:tc>
          <w:tcPr>
            <w:tcW w:w="1476" w:type="dxa"/>
            <w:shd w:val="clear" w:color="auto" w:fill="auto"/>
            <w:vAlign w:val="center"/>
          </w:tcPr>
          <w:p w14:paraId="7C06A09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5084538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770687C6">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目标任务完成情况</w:t>
            </w:r>
          </w:p>
        </w:tc>
      </w:tr>
      <w:tr w14:paraId="34F6B8F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7FBE6B56">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3E310048">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2F77434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C22</w:t>
            </w:r>
            <w:r>
              <w:rPr>
                <w:rFonts w:hint="eastAsia" w:ascii="方正仿宋_GB2312" w:hAnsi="方正仿宋_GB2312" w:eastAsia="方正仿宋_GB2312" w:cs="方正仿宋_GB2312"/>
                <w:color w:val="000000"/>
                <w:kern w:val="0"/>
                <w:sz w:val="24"/>
                <w:szCs w:val="24"/>
              </w:rPr>
              <w:t>年度任务完成质量</w:t>
            </w:r>
          </w:p>
        </w:tc>
        <w:tc>
          <w:tcPr>
            <w:tcW w:w="1476" w:type="dxa"/>
            <w:shd w:val="clear" w:color="auto" w:fill="auto"/>
            <w:vAlign w:val="center"/>
          </w:tcPr>
          <w:p w14:paraId="64C4DE1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1770" w:type="dxa"/>
            <w:vAlign w:val="center"/>
          </w:tcPr>
          <w:p w14:paraId="455DC977">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3720" w:type="dxa"/>
            <w:shd w:val="clear" w:color="auto" w:fill="auto"/>
            <w:vAlign w:val="center"/>
          </w:tcPr>
          <w:p w14:paraId="33A461BA">
            <w:pPr>
              <w:widowControl/>
              <w:jc w:val="left"/>
              <w:rPr>
                <w:rFonts w:ascii="方正仿宋_GB2312" w:hAnsi="方正仿宋_GB2312" w:eastAsia="方正仿宋_GB2312" w:cs="方正仿宋_GB2312"/>
                <w:color w:val="000000"/>
                <w:kern w:val="0"/>
                <w:sz w:val="24"/>
                <w:szCs w:val="24"/>
              </w:rPr>
            </w:pPr>
          </w:p>
        </w:tc>
      </w:tr>
      <w:tr w14:paraId="1E7BCF2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34AAA6AD">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13695774">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1EE849D8">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C23</w:t>
            </w:r>
            <w:r>
              <w:rPr>
                <w:rFonts w:hint="eastAsia" w:ascii="方正仿宋_GB2312" w:hAnsi="方正仿宋_GB2312" w:eastAsia="方正仿宋_GB2312" w:cs="方正仿宋_GB2312"/>
                <w:color w:val="000000"/>
                <w:kern w:val="0"/>
                <w:sz w:val="24"/>
                <w:szCs w:val="24"/>
              </w:rPr>
              <w:t>年度任务完成时效</w:t>
            </w:r>
          </w:p>
        </w:tc>
        <w:tc>
          <w:tcPr>
            <w:tcW w:w="1476" w:type="dxa"/>
            <w:shd w:val="clear" w:color="auto" w:fill="auto"/>
            <w:vAlign w:val="center"/>
          </w:tcPr>
          <w:p w14:paraId="3296362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6EAC7F9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1CD6E6F2">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是否按时完成</w:t>
            </w:r>
          </w:p>
        </w:tc>
      </w:tr>
      <w:tr w14:paraId="5331B65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276CEDBB">
            <w:pPr>
              <w:widowControl/>
              <w:jc w:val="left"/>
              <w:rPr>
                <w:rFonts w:ascii="方正仿宋_GB2312" w:hAnsi="方正仿宋_GB2312" w:eastAsia="方正仿宋_GB2312" w:cs="方正仿宋_GB2312"/>
                <w:color w:val="000000"/>
                <w:kern w:val="0"/>
                <w:sz w:val="24"/>
                <w:szCs w:val="24"/>
              </w:rPr>
            </w:pPr>
          </w:p>
        </w:tc>
        <w:tc>
          <w:tcPr>
            <w:tcW w:w="1843" w:type="dxa"/>
            <w:vMerge w:val="restart"/>
            <w:shd w:val="clear" w:color="auto" w:fill="auto"/>
            <w:vAlign w:val="center"/>
          </w:tcPr>
          <w:p w14:paraId="367A07FF">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C3</w:t>
            </w:r>
            <w:r>
              <w:rPr>
                <w:rFonts w:hint="eastAsia" w:ascii="方正仿宋_GB2312" w:hAnsi="方正仿宋_GB2312" w:eastAsia="方正仿宋_GB2312" w:cs="方正仿宋_GB2312"/>
                <w:color w:val="000000"/>
                <w:kern w:val="0"/>
                <w:sz w:val="24"/>
                <w:szCs w:val="24"/>
              </w:rPr>
              <w:t>工程质量安全监督工作（</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 xml:space="preserve">分） </w:t>
            </w:r>
          </w:p>
        </w:tc>
        <w:tc>
          <w:tcPr>
            <w:tcW w:w="3827" w:type="dxa"/>
            <w:shd w:val="clear" w:color="auto" w:fill="auto"/>
            <w:vAlign w:val="center"/>
          </w:tcPr>
          <w:p w14:paraId="508FAC22">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C31</w:t>
            </w:r>
            <w:r>
              <w:rPr>
                <w:rFonts w:hint="eastAsia" w:ascii="方正仿宋_GB2312" w:hAnsi="方正仿宋_GB2312" w:eastAsia="方正仿宋_GB2312" w:cs="方正仿宋_GB2312"/>
                <w:color w:val="000000"/>
                <w:kern w:val="0"/>
                <w:sz w:val="24"/>
                <w:szCs w:val="24"/>
              </w:rPr>
              <w:t>年度精细化推进任务是否完成</w:t>
            </w:r>
          </w:p>
        </w:tc>
        <w:tc>
          <w:tcPr>
            <w:tcW w:w="1476" w:type="dxa"/>
            <w:shd w:val="clear" w:color="auto" w:fill="auto"/>
            <w:vAlign w:val="center"/>
          </w:tcPr>
          <w:p w14:paraId="742EA7F5">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1D78ADCB">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754514AF">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目标任务完成情况</w:t>
            </w:r>
          </w:p>
        </w:tc>
      </w:tr>
      <w:tr w14:paraId="7CF7177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F315636">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695182B4">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2929438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C32</w:t>
            </w:r>
            <w:r>
              <w:rPr>
                <w:rFonts w:hint="eastAsia" w:ascii="方正仿宋_GB2312" w:hAnsi="方正仿宋_GB2312" w:eastAsia="方正仿宋_GB2312" w:cs="方正仿宋_GB2312"/>
                <w:color w:val="000000"/>
                <w:kern w:val="0"/>
                <w:sz w:val="24"/>
                <w:szCs w:val="24"/>
              </w:rPr>
              <w:t>年度精细化推进任务完成质量</w:t>
            </w:r>
          </w:p>
        </w:tc>
        <w:tc>
          <w:tcPr>
            <w:tcW w:w="1476" w:type="dxa"/>
            <w:shd w:val="clear" w:color="auto" w:fill="auto"/>
            <w:vAlign w:val="center"/>
          </w:tcPr>
          <w:p w14:paraId="1A8C57FF">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1770" w:type="dxa"/>
            <w:vAlign w:val="center"/>
          </w:tcPr>
          <w:p w14:paraId="3C54037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3720" w:type="dxa"/>
            <w:shd w:val="clear" w:color="auto" w:fill="auto"/>
            <w:vAlign w:val="center"/>
          </w:tcPr>
          <w:p w14:paraId="72A343BD">
            <w:pPr>
              <w:widowControl/>
              <w:jc w:val="left"/>
              <w:rPr>
                <w:rFonts w:ascii="方正仿宋_GB2312" w:hAnsi="方正仿宋_GB2312" w:eastAsia="方正仿宋_GB2312" w:cs="方正仿宋_GB2312"/>
                <w:color w:val="000000"/>
                <w:kern w:val="0"/>
                <w:sz w:val="24"/>
                <w:szCs w:val="24"/>
              </w:rPr>
            </w:pPr>
          </w:p>
        </w:tc>
      </w:tr>
      <w:tr w14:paraId="41459F7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35297244">
            <w:pPr>
              <w:widowControl/>
              <w:jc w:val="left"/>
              <w:rPr>
                <w:rFonts w:ascii="方正仿宋_GB2312" w:hAnsi="方正仿宋_GB2312" w:eastAsia="方正仿宋_GB2312" w:cs="方正仿宋_GB2312"/>
                <w:color w:val="000000"/>
                <w:kern w:val="0"/>
                <w:sz w:val="24"/>
                <w:szCs w:val="24"/>
              </w:rPr>
            </w:pPr>
          </w:p>
        </w:tc>
        <w:tc>
          <w:tcPr>
            <w:tcW w:w="1843" w:type="dxa"/>
            <w:vMerge w:val="continue"/>
            <w:vAlign w:val="center"/>
          </w:tcPr>
          <w:p w14:paraId="5EC175ED">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14266EEE">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C33</w:t>
            </w:r>
            <w:r>
              <w:rPr>
                <w:rFonts w:hint="eastAsia" w:ascii="方正仿宋_GB2312" w:hAnsi="方正仿宋_GB2312" w:eastAsia="方正仿宋_GB2312" w:cs="方正仿宋_GB2312"/>
                <w:color w:val="000000"/>
                <w:kern w:val="0"/>
                <w:sz w:val="24"/>
                <w:szCs w:val="24"/>
              </w:rPr>
              <w:t>年度精细化推进任务完成时效</w:t>
            </w:r>
          </w:p>
        </w:tc>
        <w:tc>
          <w:tcPr>
            <w:tcW w:w="1476" w:type="dxa"/>
            <w:shd w:val="clear" w:color="auto" w:fill="auto"/>
            <w:vAlign w:val="center"/>
          </w:tcPr>
          <w:p w14:paraId="15727D9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4C14024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6F4DF25A">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是否按时完成</w:t>
            </w:r>
          </w:p>
        </w:tc>
      </w:tr>
      <w:tr w14:paraId="4424F1B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6A76D50">
            <w:pPr>
              <w:widowControl/>
              <w:jc w:val="left"/>
              <w:rPr>
                <w:rFonts w:ascii="仿宋" w:hAnsi="仿宋" w:cs="宋体"/>
                <w:color w:val="000000"/>
                <w:kern w:val="0"/>
                <w:sz w:val="24"/>
                <w:szCs w:val="24"/>
              </w:rPr>
            </w:pPr>
          </w:p>
        </w:tc>
        <w:tc>
          <w:tcPr>
            <w:tcW w:w="1843" w:type="dxa"/>
            <w:vMerge w:val="restart"/>
            <w:shd w:val="clear" w:color="auto" w:fill="auto"/>
            <w:vAlign w:val="center"/>
          </w:tcPr>
          <w:p w14:paraId="3D083545">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C4</w:t>
            </w:r>
            <w:r>
              <w:rPr>
                <w:rFonts w:hint="eastAsia" w:ascii="方正仿宋_GB2312" w:hAnsi="方正仿宋_GB2312" w:eastAsia="方正仿宋_GB2312" w:cs="方正仿宋_GB2312"/>
                <w:color w:val="000000"/>
                <w:kern w:val="0"/>
                <w:sz w:val="24"/>
                <w:szCs w:val="24"/>
              </w:rPr>
              <w:t xml:space="preserve"> 行政执法相关工作（</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08ED5FCE">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C41</w:t>
            </w:r>
            <w:r>
              <w:rPr>
                <w:rFonts w:hint="eastAsia" w:ascii="方正仿宋_GB2312" w:hAnsi="方正仿宋_GB2312" w:eastAsia="方正仿宋_GB2312" w:cs="方正仿宋_GB2312"/>
                <w:color w:val="000000"/>
                <w:kern w:val="0"/>
                <w:sz w:val="24"/>
                <w:szCs w:val="24"/>
              </w:rPr>
              <w:t>年度任务是否完成</w:t>
            </w:r>
          </w:p>
        </w:tc>
        <w:tc>
          <w:tcPr>
            <w:tcW w:w="1476" w:type="dxa"/>
            <w:shd w:val="clear" w:color="auto" w:fill="auto"/>
            <w:vAlign w:val="center"/>
          </w:tcPr>
          <w:p w14:paraId="5230E509">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5B8F80B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1CE3BBD0">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目标任务完成情况</w:t>
            </w:r>
          </w:p>
        </w:tc>
      </w:tr>
      <w:tr w14:paraId="65E7F28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60356FF9">
            <w:pPr>
              <w:widowControl/>
              <w:jc w:val="left"/>
              <w:rPr>
                <w:rFonts w:ascii="仿宋" w:hAnsi="仿宋" w:cs="宋体"/>
                <w:color w:val="000000"/>
                <w:kern w:val="0"/>
                <w:sz w:val="24"/>
                <w:szCs w:val="24"/>
              </w:rPr>
            </w:pPr>
          </w:p>
        </w:tc>
        <w:tc>
          <w:tcPr>
            <w:tcW w:w="1843" w:type="dxa"/>
            <w:vMerge w:val="continue"/>
            <w:shd w:val="clear" w:color="auto" w:fill="auto"/>
            <w:vAlign w:val="center"/>
          </w:tcPr>
          <w:p w14:paraId="605D2F2D">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731BB96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C42</w:t>
            </w:r>
            <w:r>
              <w:rPr>
                <w:rFonts w:hint="eastAsia" w:ascii="方正仿宋_GB2312" w:hAnsi="方正仿宋_GB2312" w:eastAsia="方正仿宋_GB2312" w:cs="方正仿宋_GB2312"/>
                <w:color w:val="000000"/>
                <w:kern w:val="0"/>
                <w:sz w:val="24"/>
                <w:szCs w:val="24"/>
              </w:rPr>
              <w:t>年度任务完成质量</w:t>
            </w:r>
          </w:p>
        </w:tc>
        <w:tc>
          <w:tcPr>
            <w:tcW w:w="1476" w:type="dxa"/>
            <w:shd w:val="clear" w:color="auto" w:fill="auto"/>
            <w:vAlign w:val="center"/>
          </w:tcPr>
          <w:p w14:paraId="3D0444E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1770" w:type="dxa"/>
            <w:vAlign w:val="center"/>
          </w:tcPr>
          <w:p w14:paraId="4FBB163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4</w:t>
            </w:r>
          </w:p>
        </w:tc>
        <w:tc>
          <w:tcPr>
            <w:tcW w:w="3720" w:type="dxa"/>
            <w:shd w:val="clear" w:color="auto" w:fill="auto"/>
            <w:vAlign w:val="center"/>
          </w:tcPr>
          <w:p w14:paraId="15C69136">
            <w:pPr>
              <w:widowControl/>
              <w:jc w:val="left"/>
              <w:rPr>
                <w:rFonts w:ascii="方正仿宋_GB2312" w:hAnsi="方正仿宋_GB2312" w:eastAsia="方正仿宋_GB2312" w:cs="方正仿宋_GB2312"/>
                <w:color w:val="000000"/>
                <w:kern w:val="0"/>
                <w:sz w:val="24"/>
                <w:szCs w:val="24"/>
              </w:rPr>
            </w:pPr>
          </w:p>
        </w:tc>
      </w:tr>
      <w:tr w14:paraId="1F05C84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E851F15">
            <w:pPr>
              <w:widowControl/>
              <w:jc w:val="left"/>
              <w:rPr>
                <w:rFonts w:ascii="仿宋" w:hAnsi="仿宋" w:cs="宋体"/>
                <w:color w:val="000000"/>
                <w:kern w:val="0"/>
                <w:sz w:val="24"/>
                <w:szCs w:val="24"/>
              </w:rPr>
            </w:pPr>
          </w:p>
        </w:tc>
        <w:tc>
          <w:tcPr>
            <w:tcW w:w="1843" w:type="dxa"/>
            <w:vMerge w:val="continue"/>
            <w:shd w:val="clear" w:color="auto" w:fill="auto"/>
            <w:vAlign w:val="center"/>
          </w:tcPr>
          <w:p w14:paraId="42106CCB">
            <w:pPr>
              <w:widowControl/>
              <w:jc w:val="left"/>
              <w:rPr>
                <w:rFonts w:ascii="方正仿宋_GB2312" w:hAnsi="方正仿宋_GB2312" w:eastAsia="方正仿宋_GB2312" w:cs="方正仿宋_GB2312"/>
                <w:color w:val="000000"/>
                <w:kern w:val="0"/>
                <w:sz w:val="24"/>
                <w:szCs w:val="24"/>
              </w:rPr>
            </w:pPr>
          </w:p>
        </w:tc>
        <w:tc>
          <w:tcPr>
            <w:tcW w:w="3827" w:type="dxa"/>
            <w:shd w:val="clear" w:color="auto" w:fill="auto"/>
            <w:vAlign w:val="center"/>
          </w:tcPr>
          <w:p w14:paraId="50A8803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C43</w:t>
            </w:r>
            <w:r>
              <w:rPr>
                <w:rFonts w:hint="eastAsia" w:ascii="方正仿宋_GB2312" w:hAnsi="方正仿宋_GB2312" w:eastAsia="方正仿宋_GB2312" w:cs="方正仿宋_GB2312"/>
                <w:color w:val="000000"/>
                <w:kern w:val="0"/>
                <w:sz w:val="24"/>
                <w:szCs w:val="24"/>
              </w:rPr>
              <w:t>年度任务完成时效</w:t>
            </w:r>
          </w:p>
        </w:tc>
        <w:tc>
          <w:tcPr>
            <w:tcW w:w="1476" w:type="dxa"/>
            <w:shd w:val="clear" w:color="auto" w:fill="auto"/>
            <w:vAlign w:val="center"/>
          </w:tcPr>
          <w:p w14:paraId="16E78C92">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58A0CF9B">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3720" w:type="dxa"/>
            <w:shd w:val="clear" w:color="auto" w:fill="auto"/>
            <w:vAlign w:val="center"/>
          </w:tcPr>
          <w:p w14:paraId="0B2A66FC">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是否按时完成</w:t>
            </w:r>
          </w:p>
        </w:tc>
      </w:tr>
      <w:tr w14:paraId="07A78CA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154" w:hRule="atLeast"/>
        </w:trPr>
        <w:tc>
          <w:tcPr>
            <w:tcW w:w="1219" w:type="dxa"/>
            <w:vMerge w:val="restart"/>
            <w:shd w:val="clear" w:color="auto" w:fill="auto"/>
            <w:noWrap/>
            <w:vAlign w:val="center"/>
          </w:tcPr>
          <w:p w14:paraId="531B31B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D</w:t>
            </w:r>
            <w:r>
              <w:rPr>
                <w:rFonts w:hint="eastAsia" w:ascii="方正仿宋_GB2312" w:hAnsi="方正仿宋_GB2312" w:eastAsia="方正仿宋_GB2312" w:cs="方正仿宋_GB2312"/>
                <w:color w:val="000000"/>
                <w:kern w:val="0"/>
                <w:sz w:val="24"/>
                <w:szCs w:val="24"/>
              </w:rPr>
              <w:t>履职绩效（</w:t>
            </w:r>
            <w:r>
              <w:rPr>
                <w:rFonts w:hint="eastAsia" w:ascii="Times New Roman" w:hAnsi="Times New Roman" w:eastAsia="方正仿宋_GB2312" w:cs="Times New Roman"/>
                <w:color w:val="000000"/>
                <w:kern w:val="0"/>
                <w:sz w:val="24"/>
                <w:szCs w:val="24"/>
              </w:rPr>
              <w:t>20</w:t>
            </w:r>
            <w:r>
              <w:rPr>
                <w:rFonts w:hint="eastAsia" w:ascii="方正仿宋_GB2312" w:hAnsi="方正仿宋_GB2312" w:eastAsia="方正仿宋_GB2312" w:cs="方正仿宋_GB2312"/>
                <w:color w:val="000000"/>
                <w:kern w:val="0"/>
                <w:sz w:val="24"/>
                <w:szCs w:val="24"/>
              </w:rPr>
              <w:t>分）</w:t>
            </w:r>
          </w:p>
        </w:tc>
        <w:tc>
          <w:tcPr>
            <w:tcW w:w="1843" w:type="dxa"/>
            <w:shd w:val="clear" w:color="auto" w:fill="auto"/>
            <w:vAlign w:val="center"/>
          </w:tcPr>
          <w:p w14:paraId="2ED9AF37">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D1</w:t>
            </w:r>
            <w:r>
              <w:rPr>
                <w:rFonts w:hint="eastAsia" w:ascii="方正仿宋_GB2312" w:hAnsi="方正仿宋_GB2312" w:eastAsia="方正仿宋_GB2312" w:cs="方正仿宋_GB2312"/>
                <w:color w:val="000000"/>
                <w:kern w:val="0"/>
                <w:sz w:val="24"/>
                <w:szCs w:val="24"/>
              </w:rPr>
              <w:t xml:space="preserve"> 社会效益（</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7394DB88">
            <w:pPr>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规范建筑装饰市场秩序</w:t>
            </w:r>
          </w:p>
        </w:tc>
        <w:tc>
          <w:tcPr>
            <w:tcW w:w="1476" w:type="dxa"/>
            <w:shd w:val="clear" w:color="auto" w:fill="auto"/>
            <w:vAlign w:val="center"/>
          </w:tcPr>
          <w:p w14:paraId="327E29AD">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10</w:t>
            </w:r>
          </w:p>
        </w:tc>
        <w:tc>
          <w:tcPr>
            <w:tcW w:w="1770" w:type="dxa"/>
            <w:vAlign w:val="center"/>
          </w:tcPr>
          <w:p w14:paraId="22721226">
            <w:pPr>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10</w:t>
            </w:r>
          </w:p>
        </w:tc>
        <w:tc>
          <w:tcPr>
            <w:tcW w:w="3720" w:type="dxa"/>
            <w:shd w:val="clear" w:color="auto" w:fill="auto"/>
            <w:vAlign w:val="center"/>
          </w:tcPr>
          <w:p w14:paraId="78E72D2B">
            <w:pPr>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完成外地来宁装饰企业信用</w:t>
            </w:r>
            <w:r>
              <w:rPr>
                <w:rFonts w:hint="eastAsia" w:ascii="仿宋" w:hAnsi="仿宋" w:eastAsia="仿宋" w:cs="方正仿宋_GB2312"/>
                <w:color w:val="000000"/>
                <w:kern w:val="0"/>
                <w:sz w:val="24"/>
                <w:szCs w:val="24"/>
              </w:rPr>
              <w:t>档案</w:t>
            </w:r>
            <w:r>
              <w:rPr>
                <w:rFonts w:hint="eastAsia" w:ascii="方正仿宋_GB2312" w:hAnsi="方正仿宋_GB2312" w:eastAsia="方正仿宋_GB2312" w:cs="方正仿宋_GB2312"/>
                <w:color w:val="000000"/>
                <w:kern w:val="0"/>
                <w:sz w:val="24"/>
                <w:szCs w:val="24"/>
              </w:rPr>
              <w:t>的申办及换发工作；逐步提高装饰工程施工许可办理覆盖面，以工程项目为载体，加大了对进宁承接业务的外地企业的监管力度</w:t>
            </w:r>
          </w:p>
        </w:tc>
      </w:tr>
      <w:tr w14:paraId="7F67BBC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11A7347E">
            <w:pPr>
              <w:widowControl/>
              <w:jc w:val="left"/>
              <w:rPr>
                <w:rFonts w:ascii="方正仿宋_GB2312" w:hAnsi="方正仿宋_GB2312" w:eastAsia="方正仿宋_GB2312" w:cs="方正仿宋_GB2312"/>
                <w:color w:val="000000"/>
                <w:kern w:val="0"/>
                <w:sz w:val="24"/>
                <w:szCs w:val="24"/>
              </w:rPr>
            </w:pPr>
          </w:p>
        </w:tc>
        <w:tc>
          <w:tcPr>
            <w:tcW w:w="1843" w:type="dxa"/>
            <w:shd w:val="clear" w:color="auto" w:fill="auto"/>
            <w:vAlign w:val="center"/>
          </w:tcPr>
          <w:p w14:paraId="290EDE8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D2</w:t>
            </w:r>
            <w:r>
              <w:rPr>
                <w:rFonts w:hint="eastAsia" w:ascii="方正仿宋_GB2312" w:hAnsi="方正仿宋_GB2312" w:eastAsia="方正仿宋_GB2312" w:cs="方正仿宋_GB2312"/>
                <w:color w:val="000000"/>
                <w:kern w:val="0"/>
                <w:sz w:val="24"/>
                <w:szCs w:val="24"/>
              </w:rPr>
              <w:t>满意度（</w:t>
            </w:r>
            <w:r>
              <w:rPr>
                <w:rFonts w:hint="eastAsia" w:ascii="Times New Roman" w:hAnsi="Times New Roman" w:eastAsia="方正仿宋_GB2312" w:cs="Times New Roman"/>
                <w:color w:val="000000"/>
                <w:kern w:val="0"/>
                <w:sz w:val="24"/>
                <w:szCs w:val="24"/>
              </w:rPr>
              <w:t>10</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04548E2B">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人民群众的满意度是否提升</w:t>
            </w:r>
          </w:p>
        </w:tc>
        <w:tc>
          <w:tcPr>
            <w:tcW w:w="1476" w:type="dxa"/>
            <w:shd w:val="clear" w:color="auto" w:fill="auto"/>
            <w:vAlign w:val="center"/>
          </w:tcPr>
          <w:p w14:paraId="44E1F3D1">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10</w:t>
            </w:r>
          </w:p>
        </w:tc>
        <w:tc>
          <w:tcPr>
            <w:tcW w:w="1770" w:type="dxa"/>
            <w:vAlign w:val="center"/>
          </w:tcPr>
          <w:p w14:paraId="3B9900FD">
            <w:pPr>
              <w:widowControl/>
              <w:jc w:val="center"/>
              <w:rPr>
                <w:rFonts w:ascii="Times New Roman" w:hAnsi="Times New Roman" w:eastAsia="方正仿宋_GB2312" w:cs="Times New Roman"/>
                <w:color w:val="000000"/>
                <w:kern w:val="0"/>
                <w:sz w:val="24"/>
                <w:szCs w:val="24"/>
              </w:rPr>
            </w:pPr>
            <w:r>
              <w:rPr>
                <w:rFonts w:hint="eastAsia" w:ascii="Times New Roman" w:hAnsi="Times New Roman" w:eastAsia="方正仿宋_GB2312" w:cs="Times New Roman"/>
                <w:color w:val="000000"/>
                <w:kern w:val="0"/>
                <w:sz w:val="24"/>
                <w:szCs w:val="24"/>
              </w:rPr>
              <w:t>10</w:t>
            </w:r>
          </w:p>
        </w:tc>
        <w:tc>
          <w:tcPr>
            <w:tcW w:w="3720" w:type="dxa"/>
            <w:shd w:val="clear" w:color="auto" w:fill="auto"/>
            <w:vAlign w:val="center"/>
          </w:tcPr>
          <w:p w14:paraId="4922F893">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处理12345投诉，根据回访结果评价群众满意度达9</w:t>
            </w:r>
            <w:r>
              <w:rPr>
                <w:rFonts w:hint="eastAsia" w:ascii="宋体" w:hAnsi="宋体" w:eastAsia="宋体" w:cs="宋体"/>
                <w:color w:val="000000"/>
                <w:kern w:val="0"/>
                <w:sz w:val="24"/>
                <w:szCs w:val="24"/>
              </w:rPr>
              <w:t>5%</w:t>
            </w:r>
            <w:r>
              <w:rPr>
                <w:rFonts w:hint="eastAsia" w:ascii="方正仿宋_GB2312" w:hAnsi="方正仿宋_GB2312" w:eastAsia="方正仿宋_GB2312" w:cs="方正仿宋_GB2312"/>
                <w:color w:val="000000"/>
                <w:kern w:val="0"/>
                <w:sz w:val="24"/>
                <w:szCs w:val="24"/>
              </w:rPr>
              <w:t>以上</w:t>
            </w:r>
          </w:p>
        </w:tc>
      </w:tr>
      <w:tr w14:paraId="6BAD364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restart"/>
            <w:shd w:val="clear" w:color="auto" w:fill="auto"/>
            <w:noWrap/>
            <w:vAlign w:val="center"/>
          </w:tcPr>
          <w:p w14:paraId="2410A375">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E</w:t>
            </w:r>
            <w:r>
              <w:rPr>
                <w:rFonts w:hint="eastAsia" w:ascii="方正仿宋_GB2312" w:hAnsi="方正仿宋_GB2312" w:eastAsia="方正仿宋_GB2312" w:cs="方正仿宋_GB2312"/>
                <w:color w:val="000000"/>
                <w:kern w:val="0"/>
                <w:sz w:val="24"/>
                <w:szCs w:val="24"/>
              </w:rPr>
              <w:t>可持续发展能力（</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1843" w:type="dxa"/>
            <w:shd w:val="clear" w:color="auto" w:fill="auto"/>
            <w:vAlign w:val="center"/>
          </w:tcPr>
          <w:p w14:paraId="708B4FF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E1</w:t>
            </w:r>
            <w:r>
              <w:rPr>
                <w:rFonts w:hint="eastAsia" w:ascii="方正仿宋_GB2312" w:hAnsi="方正仿宋_GB2312" w:eastAsia="方正仿宋_GB2312" w:cs="方正仿宋_GB2312"/>
                <w:color w:val="000000"/>
                <w:kern w:val="0"/>
                <w:sz w:val="24"/>
                <w:szCs w:val="24"/>
              </w:rPr>
              <w:t>信息化建设情况（</w:t>
            </w:r>
            <w:r>
              <w:rPr>
                <w:rFonts w:hint="eastAsia" w:ascii="Times New Roman" w:hAnsi="Times New Roman" w:eastAsia="方正仿宋_GB2312" w:cs="Times New Roman"/>
                <w:color w:val="000000"/>
                <w:kern w:val="0"/>
                <w:sz w:val="24"/>
                <w:szCs w:val="24"/>
              </w:rPr>
              <w:t>3</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2FA1F71E">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办公流程、业务开展是否能通过单位的信息系统实现</w:t>
            </w:r>
          </w:p>
        </w:tc>
        <w:tc>
          <w:tcPr>
            <w:tcW w:w="1476" w:type="dxa"/>
            <w:shd w:val="clear" w:color="auto" w:fill="auto"/>
            <w:vAlign w:val="center"/>
          </w:tcPr>
          <w:p w14:paraId="16A56178">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3</w:t>
            </w:r>
          </w:p>
        </w:tc>
        <w:tc>
          <w:tcPr>
            <w:tcW w:w="1770" w:type="dxa"/>
            <w:vAlign w:val="center"/>
          </w:tcPr>
          <w:p w14:paraId="706B406E">
            <w:pPr>
              <w:widowControl/>
              <w:jc w:val="center"/>
              <w:rPr>
                <w:rFonts w:ascii="Times New Roman" w:hAnsi="Times New Roman" w:eastAsia="方正仿宋_GB2312" w:cs="Times New Roman"/>
                <w:color w:val="000000"/>
                <w:kern w:val="0"/>
                <w:sz w:val="24"/>
                <w:szCs w:val="24"/>
              </w:rPr>
            </w:pPr>
            <w:r>
              <w:rPr>
                <w:rFonts w:hint="eastAsia" w:ascii="Times New Roman" w:hAnsi="Times New Roman" w:eastAsia="方正仿宋_GB2312" w:cs="Times New Roman"/>
                <w:color w:val="000000"/>
                <w:kern w:val="0"/>
                <w:sz w:val="24"/>
                <w:szCs w:val="24"/>
              </w:rPr>
              <w:t>1</w:t>
            </w:r>
          </w:p>
        </w:tc>
        <w:tc>
          <w:tcPr>
            <w:tcW w:w="3720" w:type="dxa"/>
            <w:shd w:val="clear" w:color="auto" w:fill="auto"/>
            <w:vAlign w:val="center"/>
          </w:tcPr>
          <w:p w14:paraId="2A3A9013">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单位的信息系统搭建与使用情况</w:t>
            </w:r>
          </w:p>
        </w:tc>
      </w:tr>
      <w:tr w14:paraId="18BE455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556B2C47">
            <w:pPr>
              <w:widowControl/>
              <w:jc w:val="left"/>
              <w:rPr>
                <w:rFonts w:ascii="仿宋" w:hAnsi="仿宋" w:cs="宋体"/>
                <w:color w:val="000000"/>
                <w:kern w:val="0"/>
                <w:sz w:val="24"/>
                <w:szCs w:val="24"/>
              </w:rPr>
            </w:pPr>
          </w:p>
        </w:tc>
        <w:tc>
          <w:tcPr>
            <w:tcW w:w="1843" w:type="dxa"/>
            <w:shd w:val="clear" w:color="auto" w:fill="auto"/>
            <w:vAlign w:val="center"/>
          </w:tcPr>
          <w:p w14:paraId="584FF189">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E2</w:t>
            </w:r>
            <w:r>
              <w:rPr>
                <w:rFonts w:hint="eastAsia" w:ascii="方正仿宋_GB2312" w:hAnsi="方正仿宋_GB2312" w:eastAsia="方正仿宋_GB2312" w:cs="方正仿宋_GB2312"/>
                <w:color w:val="000000"/>
                <w:kern w:val="0"/>
                <w:sz w:val="24"/>
                <w:szCs w:val="24"/>
              </w:rPr>
              <w:t>人力资源建设情况（</w:t>
            </w:r>
            <w:r>
              <w:rPr>
                <w:rFonts w:hint="eastAsia" w:ascii="Times New Roman" w:hAnsi="Times New Roman" w:eastAsia="方正仿宋_GB2312" w:cs="Times New Roman"/>
                <w:color w:val="000000"/>
                <w:kern w:val="0"/>
                <w:sz w:val="24"/>
                <w:szCs w:val="24"/>
              </w:rPr>
              <w:t>2</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noWrap/>
            <w:vAlign w:val="center"/>
          </w:tcPr>
          <w:p w14:paraId="619D6A39">
            <w:pPr>
              <w:widowControl/>
              <w:jc w:val="left"/>
              <w:rPr>
                <w:rFonts w:ascii="方正仿宋_GB2312" w:hAnsi="方正仿宋_GB2312" w:eastAsia="方正仿宋_GB2312" w:cs="方正仿宋_GB2312"/>
                <w:color w:val="000000"/>
                <w:kern w:val="0"/>
                <w:sz w:val="22"/>
              </w:rPr>
            </w:pPr>
            <w:r>
              <w:rPr>
                <w:rFonts w:hint="eastAsia" w:ascii="方正仿宋_GB2312" w:hAnsi="方正仿宋_GB2312" w:eastAsia="方正仿宋_GB2312" w:cs="方正仿宋_GB2312"/>
                <w:color w:val="000000"/>
                <w:kern w:val="0"/>
                <w:sz w:val="24"/>
                <w:szCs w:val="24"/>
              </w:rPr>
              <w:t>单位人才培养计划、人才选拔运用、激励措施等</w:t>
            </w:r>
          </w:p>
        </w:tc>
        <w:tc>
          <w:tcPr>
            <w:tcW w:w="1476" w:type="dxa"/>
            <w:shd w:val="clear" w:color="auto" w:fill="auto"/>
            <w:vAlign w:val="center"/>
          </w:tcPr>
          <w:p w14:paraId="4182199C">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1770" w:type="dxa"/>
            <w:vAlign w:val="center"/>
          </w:tcPr>
          <w:p w14:paraId="46244766">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2</w:t>
            </w:r>
          </w:p>
        </w:tc>
        <w:tc>
          <w:tcPr>
            <w:tcW w:w="3720" w:type="dxa"/>
            <w:shd w:val="clear" w:color="auto" w:fill="auto"/>
            <w:noWrap/>
            <w:vAlign w:val="center"/>
          </w:tcPr>
          <w:p w14:paraId="4C003C3A">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人员调整、培训、数据等计划措施齐全</w:t>
            </w:r>
          </w:p>
        </w:tc>
      </w:tr>
      <w:tr w14:paraId="0D4D904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23" w:hRule="atLeast"/>
        </w:trPr>
        <w:tc>
          <w:tcPr>
            <w:tcW w:w="1219" w:type="dxa"/>
            <w:vMerge w:val="restart"/>
            <w:shd w:val="clear" w:color="auto" w:fill="auto"/>
            <w:noWrap/>
            <w:vAlign w:val="center"/>
          </w:tcPr>
          <w:p w14:paraId="536F5E22">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F</w:t>
            </w:r>
            <w:r>
              <w:rPr>
                <w:rFonts w:hint="eastAsia" w:ascii="方正仿宋_GB2312" w:hAnsi="方正仿宋_GB2312" w:eastAsia="方正仿宋_GB2312" w:cs="方正仿宋_GB2312"/>
                <w:color w:val="000000"/>
                <w:kern w:val="0"/>
                <w:sz w:val="24"/>
                <w:szCs w:val="24"/>
              </w:rPr>
              <w:t>加减分项（≤</w:t>
            </w:r>
            <w:r>
              <w:rPr>
                <w:rFonts w:hint="eastAsia" w:ascii="Times New Roman" w:hAnsi="Times New Roman" w:eastAsia="方正仿宋_GB2312" w:cs="Times New Roman"/>
                <w:color w:val="000000"/>
                <w:kern w:val="0"/>
                <w:sz w:val="24"/>
                <w:szCs w:val="24"/>
              </w:rPr>
              <w:t>5</w:t>
            </w:r>
            <w:r>
              <w:rPr>
                <w:rFonts w:hint="eastAsia" w:ascii="方正仿宋_GB2312" w:hAnsi="方正仿宋_GB2312" w:eastAsia="方正仿宋_GB2312" w:cs="方正仿宋_GB2312"/>
                <w:color w:val="000000"/>
                <w:kern w:val="0"/>
                <w:sz w:val="24"/>
                <w:szCs w:val="24"/>
              </w:rPr>
              <w:t>分）</w:t>
            </w:r>
          </w:p>
        </w:tc>
        <w:tc>
          <w:tcPr>
            <w:tcW w:w="1843" w:type="dxa"/>
            <w:shd w:val="clear" w:color="auto" w:fill="auto"/>
            <w:vAlign w:val="center"/>
          </w:tcPr>
          <w:p w14:paraId="7D630651">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F1</w:t>
            </w:r>
            <w:r>
              <w:rPr>
                <w:rFonts w:hint="eastAsia" w:ascii="方正仿宋_GB2312" w:hAnsi="方正仿宋_GB2312" w:eastAsia="方正仿宋_GB2312" w:cs="方正仿宋_GB2312"/>
                <w:color w:val="000000"/>
                <w:kern w:val="0"/>
                <w:sz w:val="24"/>
                <w:szCs w:val="24"/>
              </w:rPr>
              <w:t>加分项（</w:t>
            </w:r>
            <w:r>
              <w:rPr>
                <w:rFonts w:hint="eastAsia" w:ascii="Times New Roman" w:hAnsi="Times New Roman" w:eastAsia="方正仿宋_GB2312" w:cs="Times New Roman"/>
                <w:color w:val="000000"/>
                <w:kern w:val="0"/>
                <w:sz w:val="24"/>
                <w:szCs w:val="24"/>
              </w:rPr>
              <w:t>1</w:t>
            </w:r>
            <w:r>
              <w:rPr>
                <w:rFonts w:hint="eastAsia" w:ascii="方正仿宋_GB2312" w:hAnsi="方正仿宋_GB2312" w:eastAsia="方正仿宋_GB2312" w:cs="方正仿宋_GB2312"/>
                <w:color w:val="000000"/>
                <w:kern w:val="0"/>
                <w:sz w:val="24"/>
                <w:szCs w:val="24"/>
              </w:rPr>
              <w:t>分）</w:t>
            </w:r>
          </w:p>
        </w:tc>
        <w:tc>
          <w:tcPr>
            <w:tcW w:w="3827" w:type="dxa"/>
            <w:shd w:val="clear" w:color="auto" w:fill="auto"/>
            <w:vAlign w:val="center"/>
          </w:tcPr>
          <w:p w14:paraId="53A7FAE7">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部门（单位）受到国务院、省级、市级嘉奖</w:t>
            </w:r>
          </w:p>
        </w:tc>
        <w:tc>
          <w:tcPr>
            <w:tcW w:w="1476" w:type="dxa"/>
            <w:shd w:val="clear" w:color="auto" w:fill="auto"/>
            <w:vAlign w:val="center"/>
          </w:tcPr>
          <w:p w14:paraId="69E88F80">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0</w:t>
            </w:r>
          </w:p>
        </w:tc>
        <w:tc>
          <w:tcPr>
            <w:tcW w:w="1770" w:type="dxa"/>
            <w:vAlign w:val="center"/>
          </w:tcPr>
          <w:p w14:paraId="56059EEA">
            <w:pPr>
              <w:widowControl/>
              <w:jc w:val="center"/>
              <w:rPr>
                <w:rFonts w:ascii="Times New Roman" w:hAnsi="Times New Roman" w:eastAsia="方正仿宋_GB2312" w:cs="Times New Roman"/>
                <w:color w:val="000000"/>
                <w:kern w:val="0"/>
                <w:sz w:val="24"/>
                <w:szCs w:val="24"/>
              </w:rPr>
            </w:pPr>
            <w:r>
              <w:rPr>
                <w:rFonts w:ascii="Times New Roman" w:hAnsi="Times New Roman" w:eastAsia="方正仿宋_GB2312" w:cs="Times New Roman"/>
                <w:color w:val="000000"/>
                <w:kern w:val="0"/>
                <w:sz w:val="24"/>
                <w:szCs w:val="24"/>
              </w:rPr>
              <w:t>0</w:t>
            </w:r>
          </w:p>
        </w:tc>
        <w:tc>
          <w:tcPr>
            <w:tcW w:w="3720" w:type="dxa"/>
            <w:shd w:val="clear" w:color="auto" w:fill="auto"/>
            <w:vAlign w:val="center"/>
          </w:tcPr>
          <w:p w14:paraId="028DCEC1">
            <w:pPr>
              <w:widowControl/>
              <w:jc w:val="left"/>
              <w:rPr>
                <w:rFonts w:ascii="方正仿宋_GB2312" w:hAnsi="方正仿宋_GB2312" w:eastAsia="方正仿宋_GB2312" w:cs="方正仿宋_GB2312"/>
                <w:color w:val="000000"/>
                <w:kern w:val="0"/>
                <w:sz w:val="24"/>
                <w:szCs w:val="24"/>
              </w:rPr>
            </w:pPr>
          </w:p>
        </w:tc>
      </w:tr>
      <w:tr w14:paraId="7E55D93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00" w:hRule="atLeast"/>
        </w:trPr>
        <w:tc>
          <w:tcPr>
            <w:tcW w:w="1219" w:type="dxa"/>
            <w:vMerge w:val="continue"/>
            <w:vAlign w:val="center"/>
          </w:tcPr>
          <w:p w14:paraId="02F37987">
            <w:pPr>
              <w:widowControl/>
              <w:jc w:val="left"/>
              <w:rPr>
                <w:rFonts w:ascii="仿宋" w:hAnsi="仿宋" w:cs="宋体"/>
                <w:color w:val="000000"/>
                <w:kern w:val="0"/>
                <w:sz w:val="24"/>
                <w:szCs w:val="24"/>
              </w:rPr>
            </w:pPr>
          </w:p>
        </w:tc>
        <w:tc>
          <w:tcPr>
            <w:tcW w:w="1843" w:type="dxa"/>
            <w:shd w:val="clear" w:color="auto" w:fill="auto"/>
            <w:vAlign w:val="center"/>
          </w:tcPr>
          <w:p w14:paraId="0FD77F5E">
            <w:pPr>
              <w:widowControl/>
              <w:jc w:val="left"/>
              <w:rPr>
                <w:rFonts w:ascii="方正仿宋_GB2312" w:hAnsi="方正仿宋_GB2312" w:eastAsia="方正仿宋_GB2312" w:cs="方正仿宋_GB2312"/>
                <w:color w:val="000000"/>
                <w:kern w:val="0"/>
                <w:sz w:val="24"/>
                <w:szCs w:val="24"/>
              </w:rPr>
            </w:pPr>
            <w:r>
              <w:rPr>
                <w:rFonts w:hint="eastAsia" w:ascii="Times New Roman" w:hAnsi="Times New Roman" w:eastAsia="方正仿宋_GB2312" w:cs="Times New Roman"/>
                <w:color w:val="000000"/>
                <w:kern w:val="0"/>
                <w:sz w:val="24"/>
                <w:szCs w:val="24"/>
              </w:rPr>
              <w:t>F2</w:t>
            </w:r>
            <w:r>
              <w:rPr>
                <w:rFonts w:hint="eastAsia" w:ascii="方正仿宋_GB2312" w:hAnsi="方正仿宋_GB2312" w:eastAsia="方正仿宋_GB2312" w:cs="方正仿宋_GB2312"/>
                <w:color w:val="000000"/>
                <w:kern w:val="0"/>
                <w:sz w:val="24"/>
                <w:szCs w:val="24"/>
              </w:rPr>
              <w:t>减分项</w:t>
            </w:r>
          </w:p>
        </w:tc>
        <w:tc>
          <w:tcPr>
            <w:tcW w:w="3827" w:type="dxa"/>
            <w:shd w:val="clear" w:color="auto" w:fill="auto"/>
            <w:noWrap/>
            <w:vAlign w:val="center"/>
          </w:tcPr>
          <w:p w14:paraId="602D9692">
            <w:pPr>
              <w:widowControl/>
              <w:jc w:val="left"/>
              <w:rPr>
                <w:rFonts w:ascii="方正仿宋_GB2312" w:hAnsi="方正仿宋_GB2312" w:eastAsia="方正仿宋_GB2312" w:cs="方正仿宋_GB2312"/>
                <w:color w:val="000000"/>
                <w:kern w:val="0"/>
                <w:sz w:val="22"/>
              </w:rPr>
            </w:pPr>
            <w:r>
              <w:rPr>
                <w:rFonts w:hint="eastAsia" w:ascii="方正仿宋_GB2312" w:hAnsi="方正仿宋_GB2312" w:eastAsia="方正仿宋_GB2312" w:cs="方正仿宋_GB2312"/>
                <w:color w:val="000000"/>
                <w:kern w:val="0"/>
                <w:sz w:val="24"/>
                <w:szCs w:val="24"/>
              </w:rPr>
              <w:t>部门（单位）或工作人员违法违纪</w:t>
            </w:r>
          </w:p>
        </w:tc>
        <w:tc>
          <w:tcPr>
            <w:tcW w:w="1476" w:type="dxa"/>
            <w:shd w:val="clear" w:color="auto" w:fill="auto"/>
            <w:vAlign w:val="center"/>
          </w:tcPr>
          <w:p w14:paraId="7D583E08">
            <w:pPr>
              <w:widowControl/>
              <w:jc w:val="center"/>
              <w:rPr>
                <w:rFonts w:ascii="Times New Roman" w:hAnsi="Times New Roman" w:eastAsia="方正仿宋_GB2312" w:cs="Times New Roman"/>
                <w:color w:val="000000"/>
                <w:kern w:val="0"/>
                <w:sz w:val="24"/>
                <w:szCs w:val="24"/>
              </w:rPr>
            </w:pPr>
            <w:r>
              <w:rPr>
                <w:rFonts w:hint="eastAsia" w:ascii="Times New Roman" w:hAnsi="Times New Roman" w:eastAsia="方正仿宋_GB2312" w:cs="Times New Roman"/>
                <w:color w:val="000000"/>
                <w:kern w:val="0"/>
                <w:sz w:val="24"/>
                <w:szCs w:val="24"/>
              </w:rPr>
              <w:t>0</w:t>
            </w:r>
          </w:p>
        </w:tc>
        <w:tc>
          <w:tcPr>
            <w:tcW w:w="1770" w:type="dxa"/>
            <w:vAlign w:val="center"/>
          </w:tcPr>
          <w:p w14:paraId="43BF3E15">
            <w:pPr>
              <w:widowControl/>
              <w:jc w:val="center"/>
              <w:rPr>
                <w:rFonts w:ascii="Times New Roman" w:hAnsi="Times New Roman" w:eastAsia="方正仿宋_GB2312" w:cs="Times New Roman"/>
                <w:color w:val="000000"/>
                <w:kern w:val="0"/>
                <w:sz w:val="24"/>
                <w:szCs w:val="24"/>
              </w:rPr>
            </w:pPr>
            <w:r>
              <w:rPr>
                <w:rFonts w:hint="eastAsia" w:ascii="Times New Roman" w:hAnsi="Times New Roman" w:eastAsia="方正仿宋_GB2312" w:cs="Times New Roman"/>
                <w:color w:val="000000"/>
                <w:kern w:val="0"/>
                <w:sz w:val="24"/>
                <w:szCs w:val="24"/>
              </w:rPr>
              <w:t>0</w:t>
            </w:r>
          </w:p>
        </w:tc>
        <w:tc>
          <w:tcPr>
            <w:tcW w:w="3720" w:type="dxa"/>
            <w:shd w:val="clear" w:color="auto" w:fill="auto"/>
            <w:vAlign w:val="center"/>
          </w:tcPr>
          <w:p w14:paraId="40E29A13">
            <w:pPr>
              <w:widowControl/>
              <w:jc w:val="left"/>
              <w:rPr>
                <w:rFonts w:ascii="方正仿宋_GB2312" w:hAnsi="方正仿宋_GB2312" w:eastAsia="方正仿宋_GB2312" w:cs="方正仿宋_GB2312"/>
                <w:color w:val="000000"/>
                <w:kern w:val="0"/>
                <w:sz w:val="24"/>
                <w:szCs w:val="24"/>
              </w:rPr>
            </w:pPr>
            <w:r>
              <w:rPr>
                <w:rFonts w:hint="eastAsia" w:ascii="方正仿宋_GB2312" w:hAnsi="方正仿宋_GB2312" w:eastAsia="方正仿宋_GB2312" w:cs="方正仿宋_GB2312"/>
                <w:color w:val="000000"/>
                <w:kern w:val="0"/>
                <w:sz w:val="24"/>
                <w:szCs w:val="24"/>
              </w:rPr>
              <w:t>酌情扣分</w:t>
            </w:r>
          </w:p>
        </w:tc>
      </w:tr>
    </w:tbl>
    <w:p w14:paraId="4003B1A6">
      <w:pPr>
        <w:rPr>
          <w:rFonts w:ascii="Times New Roman" w:hAnsi="Times New Roman" w:eastAsia="方正仿宋_GBK" w:cs="Times New Roman"/>
          <w:sz w:val="32"/>
          <w:szCs w:val="32"/>
        </w:rPr>
      </w:pPr>
    </w:p>
    <w:p w14:paraId="1E7A2314">
      <w:pPr>
        <w:spacing w:line="300" w:lineRule="auto"/>
        <w:rPr>
          <w:rFonts w:ascii="Times New Roman" w:hAnsi="Times New Roman" w:eastAsia="方正仿宋_GBK" w:cs="Times New Roman"/>
          <w:color w:val="000000"/>
          <w:kern w:val="0"/>
          <w:sz w:val="32"/>
          <w:szCs w:val="32"/>
        </w:rPr>
      </w:pPr>
    </w:p>
    <w:sectPr>
      <w:headerReference r:id="rId9" w:type="first"/>
      <w:footerReference r:id="rId11" w:type="first"/>
      <w:headerReference r:id="rId8" w:type="default"/>
      <w:footerReference r:id="rId10" w:type="default"/>
      <w:pgSz w:w="16838" w:h="11906" w:orient="landscape"/>
      <w:pgMar w:top="1588" w:right="1701" w:bottom="1588" w:left="2098" w:header="1247" w:footer="124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1187CCC-208B-417A-8ECC-E3940C43D2C1}"/>
  </w:font>
  <w:font w:name="Arial">
    <w:panose1 w:val="020B0604020202020204"/>
    <w:charset w:val="01"/>
    <w:family w:val="swiss"/>
    <w:pitch w:val="default"/>
    <w:sig w:usb0="E0002AFF" w:usb1="C0007843" w:usb2="00000009" w:usb3="00000000" w:csb0="400001FF" w:csb1="FFFF0000"/>
    <w:embedRegular r:id="rId2" w:fontKey="{52EB75A7-95F1-453C-A947-6DDCF2F30626}"/>
  </w:font>
  <w:font w:name="黑体">
    <w:panose1 w:val="02010609060101010101"/>
    <w:charset w:val="86"/>
    <w:family w:val="auto"/>
    <w:pitch w:val="default"/>
    <w:sig w:usb0="800002BF" w:usb1="38CF7CFA" w:usb2="00000016" w:usb3="00000000" w:csb0="00040001" w:csb1="00000000"/>
    <w:embedRegular r:id="rId3" w:fontKey="{C9AC556E-9E9E-4F0C-AAF4-50359D0426D1}"/>
  </w:font>
  <w:font w:name="Courier New">
    <w:panose1 w:val="02070309020205020404"/>
    <w:charset w:val="01"/>
    <w:family w:val="modern"/>
    <w:pitch w:val="default"/>
    <w:sig w:usb0="E0002AFF" w:usb1="C0007843" w:usb2="00000009" w:usb3="00000000" w:csb0="400001FF" w:csb1="FFFF0000"/>
    <w:embedRegular r:id="rId4" w:fontKey="{40DE6C08-48D0-4A58-B220-AF037825DDD1}"/>
  </w:font>
  <w:font w:name="Symbol">
    <w:panose1 w:val="05050102010706020507"/>
    <w:charset w:val="02"/>
    <w:family w:val="roman"/>
    <w:pitch w:val="default"/>
    <w:sig w:usb0="00000000" w:usb1="00000000" w:usb2="00000000" w:usb3="00000000" w:csb0="80000000" w:csb1="00000000"/>
    <w:embedRegular r:id="rId5" w:fontKey="{D56C307C-3A38-4D09-86E5-13D42DDA7EC4}"/>
  </w:font>
  <w:font w:name="Calibri">
    <w:panose1 w:val="020F0502020204030204"/>
    <w:charset w:val="00"/>
    <w:family w:val="swiss"/>
    <w:pitch w:val="default"/>
    <w:sig w:usb0="E00002FF" w:usb1="4000ACFF" w:usb2="00000001" w:usb3="00000000" w:csb0="2000019F" w:csb1="00000000"/>
    <w:embedRegular r:id="rId6" w:fontKey="{E3A3E6AF-FE1E-4BD8-8937-E3CC65AEEE2D}"/>
  </w:font>
  <w:font w:name="方正小标宋_GBK">
    <w:panose1 w:val="02000000000000000000"/>
    <w:charset w:val="86"/>
    <w:family w:val="auto"/>
    <w:pitch w:val="default"/>
    <w:sig w:usb0="A00002BF" w:usb1="38CF7CFA" w:usb2="00082016" w:usb3="00000000" w:csb0="00040001" w:csb1="00000000"/>
    <w:embedRegular r:id="rId7" w:fontKey="{BEE61784-8C2C-404E-B508-B4C6649A08E0}"/>
  </w:font>
  <w:font w:name="楷体">
    <w:panose1 w:val="02010609060101010101"/>
    <w:charset w:val="86"/>
    <w:family w:val="modern"/>
    <w:pitch w:val="default"/>
    <w:sig w:usb0="800002BF" w:usb1="38CF7CFA" w:usb2="00000016" w:usb3="00000000" w:csb0="00040001" w:csb1="00000000"/>
    <w:embedRegular r:id="rId8" w:fontKey="{F28920FE-86ED-4E19-AAAD-B3A3EE80B520}"/>
  </w:font>
  <w:font w:name="仿宋">
    <w:panose1 w:val="02010609060101010101"/>
    <w:charset w:val="86"/>
    <w:family w:val="modern"/>
    <w:pitch w:val="default"/>
    <w:sig w:usb0="800002BF" w:usb1="38CF7CFA" w:usb2="00000016" w:usb3="00000000" w:csb0="00040001" w:csb1="00000000"/>
    <w:embedRegular r:id="rId9" w:fontKey="{72A61F0E-0D56-4F4D-9C0C-926830FA1F2B}"/>
  </w:font>
  <w:font w:name="方正仿宋_GBK">
    <w:panose1 w:val="02000000000000000000"/>
    <w:charset w:val="86"/>
    <w:family w:val="script"/>
    <w:pitch w:val="default"/>
    <w:sig w:usb0="A00002BF" w:usb1="38CF7CFA" w:usb2="00082016" w:usb3="00000000" w:csb0="00040001" w:csb1="00000000"/>
    <w:embedRegular r:id="rId10" w:fontKey="{4AEC096D-3B6E-4D31-88D7-CB749544D678}"/>
  </w:font>
  <w:font w:name="方正仿宋_GB2312">
    <w:panose1 w:val="02000000000000000000"/>
    <w:charset w:val="86"/>
    <w:family w:val="auto"/>
    <w:pitch w:val="default"/>
    <w:sig w:usb0="A00002BF" w:usb1="184F6CFA" w:usb2="00000012" w:usb3="00000000" w:csb0="00040001" w:csb1="00000000"/>
    <w:embedRegular r:id="rId11" w:fontKey="{B901E58D-45FE-446E-9B9E-C070098F798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imes New Roman" w:hAnsi="Times New Roman" w:cs="Times New Roman"/>
        <w:sz w:val="28"/>
        <w:szCs w:val="28"/>
      </w:rPr>
      <w:id w:val="266170379"/>
    </w:sdtPr>
    <w:sdtEndPr>
      <w:rPr>
        <w:rFonts w:ascii="Times New Roman" w:hAnsi="Times New Roman" w:cs="Times New Roman"/>
        <w:sz w:val="28"/>
        <w:szCs w:val="28"/>
      </w:rPr>
    </w:sdtEndPr>
    <w:sdtContent>
      <w:p w14:paraId="59A8BBCB">
        <w:pPr>
          <w:pStyle w:val="5"/>
          <w:ind w:firstLine="360"/>
          <w:jc w:val="cente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14:paraId="160902CF">
    <w:pPr>
      <w:pStyle w:val="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161A2">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6450E">
    <w:pPr>
      <w:pStyle w:val="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0C1D">
    <w:pPr>
      <w:pStyle w:val="5"/>
      <w:jc w:val="center"/>
    </w:pPr>
    <w:r>
      <w:rPr>
        <w:rFonts w:hint="eastAsia"/>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7</w:t>
    </w:r>
    <w:r>
      <w:rPr>
        <w:rFonts w:ascii="Times New Roman" w:hAnsi="Times New Roman" w:cs="Times New Roman"/>
        <w:sz w:val="28"/>
        <w:szCs w:val="28"/>
      </w:rPr>
      <w:fldChar w:fldCharType="end"/>
    </w:r>
    <w:r>
      <w:rPr>
        <w:rFonts w:hint="eastAsia"/>
      </w:rPr>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7C0CE">
    <w:pPr>
      <w:pStyle w:val="5"/>
      <w:jc w:val="center"/>
      <w:rPr>
        <w:sz w:val="21"/>
        <w:szCs w:val="22"/>
      </w:rPr>
    </w:pPr>
    <w:r>
      <w:rPr>
        <w:rFonts w:hint="eastAsia"/>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6</w:t>
    </w:r>
    <w:r>
      <w:rPr>
        <w:rFonts w:ascii="Times New Roman" w:hAnsi="Times New Roman" w:cs="Times New Roman"/>
        <w:sz w:val="28"/>
        <w:szCs w:val="28"/>
      </w:rPr>
      <w:fldChar w:fldCharType="end"/>
    </w:r>
    <w:r>
      <w:rPr>
        <w:rFonts w:hint="eastAsia"/>
      </w:rPr>
      <w:t>—</w:t>
    </w:r>
  </w:p>
  <w:p w14:paraId="40F59E62">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A2419">
    <w:pPr>
      <w:ind w:firstLine="5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1981D">
    <w:pPr>
      <w:pStyle w:val="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72A56">
    <w:pPr>
      <w:pStyle w:val="6"/>
    </w:pPr>
  </w:p>
  <w:p w14:paraId="27F13CCC">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23DD9">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NlMjIxYjcwMzU5OTMxNmVhZmEzMjk5ZDhmZDliOGQifQ=="/>
  </w:docVars>
  <w:rsids>
    <w:rsidRoot w:val="001A3475"/>
    <w:rsid w:val="00000960"/>
    <w:rsid w:val="00007858"/>
    <w:rsid w:val="000122ED"/>
    <w:rsid w:val="00021C5F"/>
    <w:rsid w:val="000310E3"/>
    <w:rsid w:val="00050C88"/>
    <w:rsid w:val="000529DE"/>
    <w:rsid w:val="00061AD5"/>
    <w:rsid w:val="00066A37"/>
    <w:rsid w:val="0007010D"/>
    <w:rsid w:val="00075517"/>
    <w:rsid w:val="000B149C"/>
    <w:rsid w:val="000B52CB"/>
    <w:rsid w:val="001067FB"/>
    <w:rsid w:val="00125614"/>
    <w:rsid w:val="0014172B"/>
    <w:rsid w:val="0016623D"/>
    <w:rsid w:val="001872E5"/>
    <w:rsid w:val="00190680"/>
    <w:rsid w:val="001A3475"/>
    <w:rsid w:val="001B4546"/>
    <w:rsid w:val="0020680C"/>
    <w:rsid w:val="00232E1E"/>
    <w:rsid w:val="002431EF"/>
    <w:rsid w:val="00253A58"/>
    <w:rsid w:val="00260FCB"/>
    <w:rsid w:val="002742A0"/>
    <w:rsid w:val="00277864"/>
    <w:rsid w:val="00281C51"/>
    <w:rsid w:val="00293495"/>
    <w:rsid w:val="00297A59"/>
    <w:rsid w:val="002B1876"/>
    <w:rsid w:val="002C0444"/>
    <w:rsid w:val="002C1512"/>
    <w:rsid w:val="002C7BCA"/>
    <w:rsid w:val="002D6274"/>
    <w:rsid w:val="002F77BD"/>
    <w:rsid w:val="003A5796"/>
    <w:rsid w:val="003D7128"/>
    <w:rsid w:val="003E019F"/>
    <w:rsid w:val="00411E29"/>
    <w:rsid w:val="004300BC"/>
    <w:rsid w:val="00432DE2"/>
    <w:rsid w:val="00434E34"/>
    <w:rsid w:val="004379D5"/>
    <w:rsid w:val="00441EEF"/>
    <w:rsid w:val="00450ED3"/>
    <w:rsid w:val="00487224"/>
    <w:rsid w:val="004958A4"/>
    <w:rsid w:val="004B6617"/>
    <w:rsid w:val="004C7E88"/>
    <w:rsid w:val="004D3723"/>
    <w:rsid w:val="004D5DAC"/>
    <w:rsid w:val="004F7FFD"/>
    <w:rsid w:val="0052564F"/>
    <w:rsid w:val="005422AA"/>
    <w:rsid w:val="005546EE"/>
    <w:rsid w:val="00571319"/>
    <w:rsid w:val="005A4AFB"/>
    <w:rsid w:val="005A5E93"/>
    <w:rsid w:val="005C1931"/>
    <w:rsid w:val="005D2C30"/>
    <w:rsid w:val="00623CEA"/>
    <w:rsid w:val="00633819"/>
    <w:rsid w:val="0064427E"/>
    <w:rsid w:val="0064576D"/>
    <w:rsid w:val="0065403C"/>
    <w:rsid w:val="00697F9E"/>
    <w:rsid w:val="006A28C1"/>
    <w:rsid w:val="006A3D6C"/>
    <w:rsid w:val="006B331B"/>
    <w:rsid w:val="006C1F02"/>
    <w:rsid w:val="006E0927"/>
    <w:rsid w:val="006F4CE8"/>
    <w:rsid w:val="00731534"/>
    <w:rsid w:val="007323F9"/>
    <w:rsid w:val="007506D4"/>
    <w:rsid w:val="00767752"/>
    <w:rsid w:val="00783994"/>
    <w:rsid w:val="007D0098"/>
    <w:rsid w:val="007D4F64"/>
    <w:rsid w:val="007D71B2"/>
    <w:rsid w:val="007F75F1"/>
    <w:rsid w:val="0080440B"/>
    <w:rsid w:val="00805F39"/>
    <w:rsid w:val="008144AA"/>
    <w:rsid w:val="00844D62"/>
    <w:rsid w:val="008851FC"/>
    <w:rsid w:val="00886B32"/>
    <w:rsid w:val="008B3B21"/>
    <w:rsid w:val="008B6D6E"/>
    <w:rsid w:val="008D24B5"/>
    <w:rsid w:val="008F3E28"/>
    <w:rsid w:val="00925353"/>
    <w:rsid w:val="00941527"/>
    <w:rsid w:val="00941804"/>
    <w:rsid w:val="009528D1"/>
    <w:rsid w:val="00953FFA"/>
    <w:rsid w:val="00955D14"/>
    <w:rsid w:val="00961828"/>
    <w:rsid w:val="0096561F"/>
    <w:rsid w:val="00966CD3"/>
    <w:rsid w:val="00971D64"/>
    <w:rsid w:val="009823FB"/>
    <w:rsid w:val="00996768"/>
    <w:rsid w:val="009A30FD"/>
    <w:rsid w:val="009A4140"/>
    <w:rsid w:val="009A657B"/>
    <w:rsid w:val="009A7259"/>
    <w:rsid w:val="009B6FAA"/>
    <w:rsid w:val="009B74F9"/>
    <w:rsid w:val="009E7AFB"/>
    <w:rsid w:val="00A16E66"/>
    <w:rsid w:val="00A34B24"/>
    <w:rsid w:val="00A54C0F"/>
    <w:rsid w:val="00A80F35"/>
    <w:rsid w:val="00A91D33"/>
    <w:rsid w:val="00AA01B3"/>
    <w:rsid w:val="00AA21B2"/>
    <w:rsid w:val="00AB60CA"/>
    <w:rsid w:val="00AC4495"/>
    <w:rsid w:val="00AD7782"/>
    <w:rsid w:val="00B12618"/>
    <w:rsid w:val="00B206B7"/>
    <w:rsid w:val="00B24428"/>
    <w:rsid w:val="00B30EB9"/>
    <w:rsid w:val="00B372C2"/>
    <w:rsid w:val="00B56FCC"/>
    <w:rsid w:val="00B75F42"/>
    <w:rsid w:val="00B82F1E"/>
    <w:rsid w:val="00B94757"/>
    <w:rsid w:val="00BA4D0C"/>
    <w:rsid w:val="00BC0559"/>
    <w:rsid w:val="00BC142C"/>
    <w:rsid w:val="00BD5581"/>
    <w:rsid w:val="00BE0DFB"/>
    <w:rsid w:val="00C038C9"/>
    <w:rsid w:val="00C367B6"/>
    <w:rsid w:val="00C40D43"/>
    <w:rsid w:val="00C55A3F"/>
    <w:rsid w:val="00C65D99"/>
    <w:rsid w:val="00C67518"/>
    <w:rsid w:val="00C75054"/>
    <w:rsid w:val="00C85B23"/>
    <w:rsid w:val="00C906F2"/>
    <w:rsid w:val="00CF113C"/>
    <w:rsid w:val="00CF40F1"/>
    <w:rsid w:val="00D14BC9"/>
    <w:rsid w:val="00D16414"/>
    <w:rsid w:val="00D34854"/>
    <w:rsid w:val="00D557C3"/>
    <w:rsid w:val="00D72BC9"/>
    <w:rsid w:val="00D74D03"/>
    <w:rsid w:val="00D837FA"/>
    <w:rsid w:val="00DC087A"/>
    <w:rsid w:val="00DC3DFA"/>
    <w:rsid w:val="00DC42CB"/>
    <w:rsid w:val="00DC45F0"/>
    <w:rsid w:val="00DD414F"/>
    <w:rsid w:val="00E263A4"/>
    <w:rsid w:val="00E47F25"/>
    <w:rsid w:val="00E52E70"/>
    <w:rsid w:val="00EA0247"/>
    <w:rsid w:val="00EC4153"/>
    <w:rsid w:val="00F15A35"/>
    <w:rsid w:val="00F274F0"/>
    <w:rsid w:val="00F278BA"/>
    <w:rsid w:val="00F40DCA"/>
    <w:rsid w:val="00F41A06"/>
    <w:rsid w:val="00F6069D"/>
    <w:rsid w:val="00F628F6"/>
    <w:rsid w:val="00F635A9"/>
    <w:rsid w:val="00F63A9F"/>
    <w:rsid w:val="00F64A7A"/>
    <w:rsid w:val="00F66B53"/>
    <w:rsid w:val="00FA652B"/>
    <w:rsid w:val="00FC3C11"/>
    <w:rsid w:val="00FC5B95"/>
    <w:rsid w:val="00FE782D"/>
    <w:rsid w:val="00FF2AA3"/>
    <w:rsid w:val="02252681"/>
    <w:rsid w:val="0313544C"/>
    <w:rsid w:val="04755E90"/>
    <w:rsid w:val="083F6C1C"/>
    <w:rsid w:val="0C5B3D6D"/>
    <w:rsid w:val="1D484B29"/>
    <w:rsid w:val="216A6343"/>
    <w:rsid w:val="23FD3A3B"/>
    <w:rsid w:val="2443423D"/>
    <w:rsid w:val="26331478"/>
    <w:rsid w:val="3195552A"/>
    <w:rsid w:val="32B67E2F"/>
    <w:rsid w:val="3AA355D1"/>
    <w:rsid w:val="3EB037A6"/>
    <w:rsid w:val="4BC84AC1"/>
    <w:rsid w:val="4CEC766A"/>
    <w:rsid w:val="4E524552"/>
    <w:rsid w:val="4F933FA4"/>
    <w:rsid w:val="561D654B"/>
    <w:rsid w:val="79DE1574"/>
    <w:rsid w:val="7BBB040A"/>
    <w:rsid w:val="7DCE4EF0"/>
    <w:rsid w:val="7FDC17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2"/>
    <w:qFormat/>
    <w:uiPriority w:val="9"/>
    <w:pPr>
      <w:keepNext/>
      <w:keepLines/>
      <w:spacing w:before="340" w:after="330" w:line="578" w:lineRule="auto"/>
      <w:outlineLvl w:val="0"/>
    </w:pPr>
    <w:rPr>
      <w:b/>
      <w:bCs/>
      <w:kern w:val="44"/>
      <w:sz w:val="44"/>
      <w:szCs w:val="44"/>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Date"/>
    <w:basedOn w:val="1"/>
    <w:next w:val="1"/>
    <w:link w:val="13"/>
    <w:semiHidden/>
    <w:unhideWhenUsed/>
    <w:qFormat/>
    <w:uiPriority w:val="99"/>
    <w:pPr>
      <w:ind w:left="100" w:leftChars="2500"/>
    </w:pPr>
  </w:style>
  <w:style w:type="paragraph" w:styleId="4">
    <w:name w:val="Balloon Text"/>
    <w:basedOn w:val="1"/>
    <w:link w:val="11"/>
    <w:semiHidden/>
    <w:unhideWhenUsed/>
    <w:qFormat/>
    <w:uiPriority w:val="99"/>
    <w:rPr>
      <w:sz w:val="18"/>
      <w:szCs w:val="18"/>
    </w:rPr>
  </w:style>
  <w:style w:type="paragraph" w:styleId="5">
    <w:name w:val="footer"/>
    <w:basedOn w:val="1"/>
    <w:link w:val="10"/>
    <w:unhideWhenUsed/>
    <w:qFormat/>
    <w:uiPriority w:val="99"/>
    <w:pPr>
      <w:tabs>
        <w:tab w:val="center" w:pos="4153"/>
        <w:tab w:val="right" w:pos="8306"/>
      </w:tabs>
      <w:snapToGrid w:val="0"/>
      <w:jc w:val="left"/>
    </w:pPr>
    <w:rPr>
      <w:sz w:val="18"/>
      <w:szCs w:val="18"/>
    </w:rPr>
  </w:style>
  <w:style w:type="paragraph" w:styleId="6">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9">
    <w:name w:val="页眉 Char"/>
    <w:basedOn w:val="8"/>
    <w:link w:val="6"/>
    <w:qFormat/>
    <w:uiPriority w:val="99"/>
    <w:rPr>
      <w:sz w:val="18"/>
      <w:szCs w:val="18"/>
    </w:rPr>
  </w:style>
  <w:style w:type="character" w:customStyle="1" w:styleId="10">
    <w:name w:val="页脚 Char"/>
    <w:basedOn w:val="8"/>
    <w:link w:val="5"/>
    <w:qFormat/>
    <w:uiPriority w:val="99"/>
    <w:rPr>
      <w:sz w:val="18"/>
      <w:szCs w:val="18"/>
    </w:rPr>
  </w:style>
  <w:style w:type="character" w:customStyle="1" w:styleId="11">
    <w:name w:val="批注框文本 Char"/>
    <w:basedOn w:val="8"/>
    <w:link w:val="4"/>
    <w:semiHidden/>
    <w:qFormat/>
    <w:uiPriority w:val="99"/>
    <w:rPr>
      <w:kern w:val="2"/>
      <w:sz w:val="18"/>
      <w:szCs w:val="18"/>
    </w:rPr>
  </w:style>
  <w:style w:type="character" w:customStyle="1" w:styleId="12">
    <w:name w:val="标题 1 Char"/>
    <w:basedOn w:val="8"/>
    <w:link w:val="2"/>
    <w:qFormat/>
    <w:uiPriority w:val="9"/>
    <w:rPr>
      <w:b/>
      <w:bCs/>
      <w:kern w:val="44"/>
      <w:sz w:val="44"/>
      <w:szCs w:val="44"/>
    </w:rPr>
  </w:style>
  <w:style w:type="character" w:customStyle="1" w:styleId="13">
    <w:name w:val="日期 Char"/>
    <w:basedOn w:val="8"/>
    <w:link w:val="3"/>
    <w:semiHidden/>
    <w:qFormat/>
    <w:uiPriority w:val="99"/>
    <w:rPr>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E7B901-55BC-4000-AE96-9C7B621028DB}">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13</Pages>
  <Words>4956</Words>
  <Characters>5217</Characters>
  <Lines>26</Lines>
  <Paragraphs>7</Paragraphs>
  <TotalTime>1</TotalTime>
  <ScaleCrop>false</ScaleCrop>
  <LinksUpToDate>false</LinksUpToDate>
  <CharactersWithSpaces>5249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2021-09-18T05:33:00Z</dcterms:created>
  <dc:creator>lys</dc:creator>
  <cp:lastModifiedBy>WPS_1625304101</cp:lastModifiedBy>
  <cp:lastPrinted>2024-06-20T06:44:00Z</cp:lastPrinted>
  <dcterms:modified xsi:type="dcterms:W3CDTF">2025-09-16T02:38:19Z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SaveFontToCloudKey">
    <vt:lpwstr>260473478_btnclosed</vt:lpwstr>
  </property>
  <property fmtid="{D5CDD505-2E9C-101B-9397-08002B2CF9AE}" pid="3" name="KSOProductBuildVer">
    <vt:lpwstr>2052-12.1.0.22529</vt:lpwstr>
  </property>
  <property fmtid="{D5CDD505-2E9C-101B-9397-08002B2CF9AE}" pid="4" name="ICV">
    <vt:lpwstr>292E427608DA4ED9B02CEB777B3BF8E1_13</vt:lpwstr>
  </property>
  <property fmtid="{D5CDD505-2E9C-101B-9397-08002B2CF9AE}" pid="5" name="KSOTemplateDocerSaveRecord">
    <vt:lpwstr>eyJoZGlkIjoiOGRiY2NlODM4NTkwZGEyNDNjMGYwYmUzM2RmMzhmNTUiLCJ1c2VySWQiOiIxMjMyMTI4NzE3In0=</vt:lpwstr>
  </property>
</Properties>
</file>