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728FD">
      <w:pPr>
        <w:keepNext w:val="0"/>
        <w:keepLines w:val="0"/>
        <w:pageBreakBefore w:val="0"/>
        <w:widowControl/>
        <w:kinsoku/>
        <w:wordWrap/>
        <w:overflowPunct/>
        <w:topLinePunct w:val="0"/>
        <w:autoSpaceDE w:val="0"/>
        <w:autoSpaceDN/>
        <w:bidi w:val="0"/>
        <w:spacing w:line="300" w:lineRule="auto"/>
        <w:jc w:val="center"/>
        <w:textAlignment w:val="auto"/>
        <w:rPr>
          <w:rFonts w:hint="eastAsia"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rPr>
        <w:t>202</w:t>
      </w:r>
      <w:r>
        <w:rPr>
          <w:rFonts w:hint="eastAsia" w:ascii="Times New Roman" w:hAnsi="Times New Roman" w:eastAsia="方正小标宋_GBK" w:cs="Times New Roman"/>
          <w:color w:val="000000"/>
          <w:kern w:val="0"/>
          <w:sz w:val="44"/>
          <w:szCs w:val="44"/>
          <w:lang w:val="en-US" w:eastAsia="zh-CN"/>
        </w:rPr>
        <w:t>4</w:t>
      </w:r>
      <w:r>
        <w:rPr>
          <w:rFonts w:hint="default" w:ascii="Times New Roman" w:hAnsi="Times New Roman" w:eastAsia="方正小标宋_GBK" w:cs="Times New Roman"/>
          <w:color w:val="000000"/>
          <w:kern w:val="0"/>
          <w:sz w:val="44"/>
          <w:szCs w:val="44"/>
        </w:rPr>
        <w:t>年</w:t>
      </w:r>
      <w:r>
        <w:rPr>
          <w:rFonts w:hint="default" w:ascii="Times New Roman" w:hAnsi="Times New Roman" w:eastAsia="方正小标宋_GBK" w:cs="Times New Roman"/>
          <w:color w:val="000000"/>
          <w:kern w:val="0"/>
          <w:sz w:val="44"/>
          <w:szCs w:val="44"/>
          <w:lang w:eastAsia="zh-CN"/>
        </w:rPr>
        <w:t>度</w:t>
      </w:r>
      <w:r>
        <w:rPr>
          <w:rFonts w:hint="eastAsia" w:ascii="Times New Roman" w:hAnsi="Times New Roman" w:eastAsia="方正小标宋_GBK" w:cs="Times New Roman"/>
          <w:color w:val="000000"/>
          <w:kern w:val="0"/>
          <w:sz w:val="44"/>
          <w:szCs w:val="44"/>
          <w:lang w:eastAsia="zh-CN"/>
        </w:rPr>
        <w:t>南京市城乡建设委员会—</w:t>
      </w:r>
    </w:p>
    <w:p w14:paraId="53B47EAE">
      <w:pPr>
        <w:keepNext w:val="0"/>
        <w:keepLines w:val="0"/>
        <w:pageBreakBefore w:val="0"/>
        <w:widowControl/>
        <w:kinsoku/>
        <w:wordWrap/>
        <w:overflowPunct/>
        <w:topLinePunct w:val="0"/>
        <w:autoSpaceDE w:val="0"/>
        <w:autoSpaceDN/>
        <w:bidi w:val="0"/>
        <w:spacing w:line="300" w:lineRule="auto"/>
        <w:jc w:val="center"/>
        <w:textAlignment w:val="auto"/>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lang w:eastAsia="zh-CN"/>
        </w:rPr>
        <w:t>南京市</w:t>
      </w:r>
      <w:r>
        <w:rPr>
          <w:rFonts w:hint="default" w:ascii="Times New Roman" w:hAnsi="Times New Roman" w:eastAsia="方正小标宋_GBK" w:cs="Times New Roman"/>
          <w:color w:val="000000"/>
          <w:kern w:val="0"/>
          <w:sz w:val="44"/>
          <w:szCs w:val="44"/>
        </w:rPr>
        <w:t>建设工程造价监督站</w:t>
      </w:r>
    </w:p>
    <w:p w14:paraId="216D91B7">
      <w:pPr>
        <w:keepNext w:val="0"/>
        <w:keepLines w:val="0"/>
        <w:pageBreakBefore w:val="0"/>
        <w:widowControl/>
        <w:kinsoku/>
        <w:wordWrap/>
        <w:overflowPunct/>
        <w:topLinePunct w:val="0"/>
        <w:autoSpaceDE w:val="0"/>
        <w:autoSpaceDN/>
        <w:bidi w:val="0"/>
        <w:spacing w:line="300" w:lineRule="auto"/>
        <w:jc w:val="center"/>
        <w:textAlignment w:val="auto"/>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rPr>
        <w:t>整体</w:t>
      </w:r>
      <w:r>
        <w:rPr>
          <w:rFonts w:hint="default" w:ascii="Times New Roman" w:hAnsi="Times New Roman" w:eastAsia="方正小标宋_GBK" w:cs="Times New Roman"/>
          <w:color w:val="000000"/>
          <w:kern w:val="0"/>
          <w:sz w:val="44"/>
          <w:szCs w:val="44"/>
          <w:lang w:eastAsia="zh-CN"/>
        </w:rPr>
        <w:t>预算</w:t>
      </w:r>
      <w:r>
        <w:rPr>
          <w:rFonts w:hint="default" w:ascii="Times New Roman" w:hAnsi="Times New Roman" w:eastAsia="方正小标宋_GBK" w:cs="Times New Roman"/>
          <w:color w:val="000000"/>
          <w:kern w:val="0"/>
          <w:sz w:val="44"/>
          <w:szCs w:val="44"/>
        </w:rPr>
        <w:t>绩效</w:t>
      </w:r>
      <w:r>
        <w:rPr>
          <w:rFonts w:hint="default" w:ascii="Times New Roman" w:hAnsi="Times New Roman" w:eastAsia="方正小标宋_GBK" w:cs="Times New Roman"/>
          <w:color w:val="000000"/>
          <w:kern w:val="0"/>
          <w:sz w:val="44"/>
          <w:szCs w:val="44"/>
          <w:lang w:eastAsia="zh-CN"/>
        </w:rPr>
        <w:t>自</w:t>
      </w:r>
      <w:r>
        <w:rPr>
          <w:rFonts w:hint="default" w:ascii="Times New Roman" w:hAnsi="Times New Roman" w:eastAsia="方正小标宋_GBK" w:cs="Times New Roman"/>
          <w:color w:val="000000"/>
          <w:kern w:val="0"/>
          <w:sz w:val="44"/>
          <w:szCs w:val="44"/>
        </w:rPr>
        <w:t>评价报告</w:t>
      </w:r>
    </w:p>
    <w:p w14:paraId="035DCE58">
      <w:pPr>
        <w:keepNext w:val="0"/>
        <w:keepLines w:val="0"/>
        <w:pageBreakBefore w:val="0"/>
        <w:widowControl/>
        <w:kinsoku/>
        <w:wordWrap/>
        <w:overflowPunct/>
        <w:topLinePunct w:val="0"/>
        <w:autoSpaceDE w:val="0"/>
        <w:autoSpaceDN/>
        <w:bidi w:val="0"/>
        <w:spacing w:line="300" w:lineRule="auto"/>
        <w:ind w:firstLine="640" w:firstLineChars="200"/>
        <w:jc w:val="center"/>
        <w:textAlignment w:val="auto"/>
        <w:rPr>
          <w:rFonts w:hint="default" w:ascii="Times New Roman" w:hAnsi="Times New Roman" w:eastAsia="仿宋" w:cs="Times New Roman"/>
          <w:color w:val="000000"/>
          <w:kern w:val="0"/>
          <w:sz w:val="32"/>
          <w:szCs w:val="32"/>
        </w:rPr>
      </w:pPr>
    </w:p>
    <w:p w14:paraId="615437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一、部门概况</w:t>
      </w:r>
    </w:p>
    <w:p w14:paraId="246CE3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（一）部门基本情况</w:t>
      </w:r>
    </w:p>
    <w:p w14:paraId="17D1E1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1.单位组建</w:t>
      </w:r>
    </w:p>
    <w:p w14:paraId="24AB9B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南京市建设工程造价监督站成立于1987年4月，隶属于南京市城乡建设委员会，单位性质为公益一类事业单位。</w:t>
      </w:r>
    </w:p>
    <w:p w14:paraId="5F74F5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2.职能定位</w:t>
      </w:r>
    </w:p>
    <w:p w14:paraId="4DC516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主要职责是承担全市建设工程造价活动的管理和监督工作；负责全市建设工程造价咨询市场的监督管理和相关定额的计价管理工作；组织开展全市工程造价信息发布工作。</w:t>
      </w:r>
    </w:p>
    <w:p w14:paraId="50091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3.内设机构及人员情况</w:t>
      </w:r>
    </w:p>
    <w:p w14:paraId="5839DD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截止2024年12月31日，市造价站内设4个科室，分别是办公室、计价管理科、市场管理科和信息综合科。核定编制30人，在编在岗24人，公益辅助岗2人，离退休人员18人。经费来源为财政补助收入，无行政事业性和经营性收费。</w:t>
      </w:r>
    </w:p>
    <w:p w14:paraId="5D4C2B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4.资产情况</w:t>
      </w:r>
    </w:p>
    <w:p w14:paraId="481381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截止2024年12月31日，单位账面数：资产265.81万元（其中流动资产157.39万元，占比59.21%；非流动资产108.42万元，占比40.79%。）、负债56.29万元、净资产209.52万元。账实一致。</w:t>
      </w:r>
    </w:p>
    <w:p w14:paraId="247E13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5.重点工作任务</w:t>
      </w:r>
    </w:p>
    <w:p w14:paraId="6B43BD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一是宣传、贯彻、执行国家和省、市建设行政主管部门制定的有关建设工程造价管理的政策、法规和规章；制定本市的实施办法和细则。</w:t>
      </w:r>
    </w:p>
    <w:p w14:paraId="617C6F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二是负责本市建设工程造价咨询市场的监督和管理；负责外省、市咨询企业及其分支机构在宁承接咨询项目的备案管理工作。</w:t>
      </w:r>
    </w:p>
    <w:p w14:paraId="31D14A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三是负责相关定额的计价解释和管理，工程类别的核定及工程造价纠纷的调解；收集、测算定额基础资料；参加本省相关定额的修编。</w:t>
      </w:r>
    </w:p>
    <w:p w14:paraId="096E64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四是负责本市现场安全文明施工措施费的测定工作。</w:t>
      </w:r>
    </w:p>
    <w:p w14:paraId="62FE45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color w:val="auto"/>
          <w:kern w:val="2"/>
          <w:sz w:val="32"/>
          <w:szCs w:val="32"/>
          <w:lang w:val="en-US" w:eastAsia="zh-CN" w:bidi="ar-SA"/>
        </w:rPr>
        <w:t>五是负责本市建设工程典型工程造价指数指标的测算工作；负责本市工程建设材料市场信息价的测报发布工作。</w:t>
      </w:r>
    </w:p>
    <w:p w14:paraId="01EADD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（二）部门收支情况</w:t>
      </w:r>
    </w:p>
    <w:p w14:paraId="744F30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2024年我站收入总计932.04万元，其中当年从市级财政取得的一般公共预算拨款收入932.04万元，年初结转和结余0万元。</w:t>
      </w:r>
    </w:p>
    <w:p w14:paraId="1BAE4B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支出总计932.04万元。其中：基本支出861.28万元，项目支出70.76万元。</w:t>
      </w:r>
    </w:p>
    <w:p w14:paraId="77704D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社会保障和就业支出（类）支出80.87万元，主要用于离退休职工费用、职业年金缴费；城乡社区支出（类）支出588.32万元，主要用于基本支出与项目支出；住房保障支出（类）支出262.85万元，主要用于在职职工住房公积金、住房补贴及退休职工住房补贴的支出。</w:t>
      </w:r>
    </w:p>
    <w:p w14:paraId="5E82C2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（三）部门绩效目标</w:t>
      </w:r>
    </w:p>
    <w:p w14:paraId="7C281F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中长期目标：积极推动工程造价管理市场化改革，充分发挥市场在资源配置中的决定性作用，完善市场化竞价机制，实现工程造价行业高质量发展和精细化管理。一是继续加强对计价活动的事中事后监管，实现我市造价质量成果文件水平的整体提升；为重点工程计价咨询等开通绿色通道，做好我市重点工程计价服务；二是构建以信用为基础的新型造价市场监管机制，探索个人执业诚信体系，实行信用信息差别化管理，丰富和完善造价市场主体信用归集，加强与各部门信息数据共享，推广信用结果社会化运用，为各方主体提供服务保障；三是进一步创新材料信息价发布机制，不断提升信息价发布的准确性和及时性；四是继续以提升服务水平、改进工作作风为目标，重点围绕专业建设、财务管理、人事管理、支部建设等方面，强化理论武装，创新工作思路，提升能力建设，推进服务精细化、精准化。</w:t>
      </w:r>
    </w:p>
    <w:p w14:paraId="6FD6DD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年度目标：一是提升造价服务水平，主动靠前做好政府投资重点工程计价服务，通过组织、参与建设各方争议协调会、实地调研，解决施工项目过程中的计价问题。对于施工过程中的新结构、新材料、新技术、新工艺，收集有关资料，测算编制补充定额，保障政府资金效益的充分发挥；二是做好政府投资项目可行性研究阶段的设计与造价审查机制及实施方案课题研究，对可行性研究阶段的设计与造价审查机制及实施方案进行深入研究，提高政府投资项目可研估算的编制质量和准确性，促进政府投资项目投资资金的效益发挥；三是强化行业事中事后监管，以提升我市造价行业咨询服务质量为目标，加强对中小型及新成立企业的走访服务、政策引导、技术帮扶，完成企业数不少于10%；四是优化信息员队伍的结构。通过考核淘汰不合格的信息员，同时补充材料商或采购方的采集点，扩大一手交易数据的占比，从而进一步提高数据采集的质量；五是开展主要材料的专项调研。对部分类别材料模板进行梳理，根据市场使用情况进行适时更新，更好地满足建设主体的使用需求。六是完善内部管理制度。重点梳理财务、合同、人员管理等制度，进一步提高单位管理水平和风险防范能力；七是加强岗位管理。进一步提升岗位管理科学性合理性，运用人员正常晋升机制，动态梳理空缺岗位和符合条件人员，实现按需设岗、竞聘上岗、按岗聘用、合同管理。</w:t>
      </w:r>
    </w:p>
    <w:p w14:paraId="3FDAF6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二、评价结论</w:t>
      </w:r>
    </w:p>
    <w:p w14:paraId="346C83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本次绩效评价依据市财政局《南京市级财政预算绩效管理办法》、《南京市市级预算绩效管理工作计划》、《南京市市级预算绩效管理结果应用暂行办法》等相关规定，紧密联系单位实际，运用评价体系及评分标准，设置了6个一级指标、22个二级指标、43个三级指标体系；同时结合单位年度工作计划、财务账表数据、部门履职情况、市级考核情况等方式，整理数据、分析汇总，对我站部门整体绩效进行严格认真地评价。绩效综合评分99分，等级为“优秀”。</w:t>
      </w:r>
    </w:p>
    <w:p w14:paraId="0153987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部门履职成效</w:t>
      </w:r>
    </w:p>
    <w:p w14:paraId="677EAC2F">
      <w:pPr>
        <w:keepNext w:val="0"/>
        <w:keepLines w:val="0"/>
        <w:pageBreakBefore w:val="0"/>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val="0"/>
          <w:bCs w:val="0"/>
          <w:color w:val="auto"/>
          <w:sz w:val="32"/>
          <w:szCs w:val="32"/>
          <w:lang w:val="en-US" w:eastAsia="zh-CN"/>
        </w:rPr>
        <w:t>（一）聚焦重大工程项目，开展造价咨询市场违法违规行为专项整治。</w:t>
      </w:r>
      <w:r>
        <w:rPr>
          <w:rFonts w:hint="eastAsia" w:ascii="仿宋" w:hAnsi="仿宋" w:eastAsia="仿宋" w:cs="仿宋"/>
          <w:sz w:val="32"/>
          <w:szCs w:val="32"/>
          <w:lang w:eastAsia="zh-CN"/>
        </w:rPr>
        <w:t>牵头</w:t>
      </w:r>
      <w:r>
        <w:rPr>
          <w:rFonts w:hint="eastAsia" w:ascii="仿宋" w:hAnsi="仿宋" w:eastAsia="仿宋" w:cs="仿宋"/>
          <w:sz w:val="32"/>
          <w:szCs w:val="32"/>
        </w:rPr>
        <w:t>开展造价咨询市场违法违规行为专项整治，</w:t>
      </w:r>
      <w:r>
        <w:rPr>
          <w:rFonts w:hint="eastAsia" w:ascii="仿宋" w:hAnsi="仿宋" w:eastAsia="仿宋" w:cs="仿宋"/>
          <w:sz w:val="32"/>
          <w:szCs w:val="32"/>
          <w:lang w:eastAsia="zh-CN"/>
        </w:rPr>
        <w:t>组织</w:t>
      </w:r>
      <w:r>
        <w:rPr>
          <w:rFonts w:hint="eastAsia" w:ascii="仿宋" w:hAnsi="仿宋" w:eastAsia="仿宋" w:cs="仿宋"/>
          <w:sz w:val="32"/>
          <w:szCs w:val="32"/>
        </w:rPr>
        <w:t>全市17个区（园区）、14家市属平台</w:t>
      </w:r>
      <w:r>
        <w:rPr>
          <w:rFonts w:hint="eastAsia" w:ascii="仿宋" w:hAnsi="仿宋" w:eastAsia="仿宋" w:cs="仿宋"/>
          <w:sz w:val="32"/>
          <w:szCs w:val="32"/>
          <w:lang w:eastAsia="zh-CN"/>
        </w:rPr>
        <w:t>、</w:t>
      </w:r>
      <w:r>
        <w:rPr>
          <w:rFonts w:hint="eastAsia" w:ascii="仿宋" w:hAnsi="仿宋" w:eastAsia="仿宋" w:cs="仿宋"/>
          <w:sz w:val="32"/>
          <w:szCs w:val="32"/>
        </w:rPr>
        <w:t>300余家造价咨询企业开展自查自纠，全面梳理近两年来国有资金投资项目</w:t>
      </w:r>
      <w:r>
        <w:rPr>
          <w:rFonts w:hint="eastAsia" w:ascii="仿宋" w:hAnsi="仿宋" w:eastAsia="仿宋" w:cs="仿宋"/>
          <w:sz w:val="32"/>
          <w:szCs w:val="32"/>
          <w:lang w:eastAsia="zh-CN"/>
        </w:rPr>
        <w:t>，并集中力量，开展重点检查，</w:t>
      </w:r>
      <w:r>
        <w:rPr>
          <w:rFonts w:hint="eastAsia" w:ascii="仿宋" w:hAnsi="仿宋" w:eastAsia="仿宋" w:cs="仿宋"/>
          <w:sz w:val="32"/>
          <w:szCs w:val="32"/>
          <w:lang w:val="en-US" w:eastAsia="zh-CN"/>
        </w:rPr>
        <w:t>针对专项检查发现的问题，督促被检查企业切实抓好整改。</w:t>
      </w:r>
    </w:p>
    <w:p w14:paraId="56A7DD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(二)填补现行制度空白，率先发布全过程咨询造价服务管理指导意见。</w:t>
      </w:r>
      <w:r>
        <w:rPr>
          <w:rFonts w:hint="eastAsia" w:ascii="仿宋" w:hAnsi="仿宋" w:eastAsia="仿宋" w:cs="仿宋"/>
          <w:sz w:val="32"/>
          <w:szCs w:val="32"/>
          <w:lang w:val="en-US" w:eastAsia="zh-CN"/>
        </w:rPr>
        <w:t>为贯彻落实工程建设项目全生命周期监管制度，建立健全工程建设全过程咨询造价服务管理体系，我站认真梳理造价领域相关制度文件，多措并举开展调研工作，结合我市全过程咨询项目的开展情况并广泛征求意见，制定了《关于加强工程建设全过程咨询造价服务管理的指导意见》，对各阶段造价管控的相关做法、注意事项提出意见。《指导意见》作为全省首例，填补了工程建设全过程咨询造价服务管理制度空白，得到住建部标准定额司的高度认可，并在《中国建设报》及中国建设新闻网上获得了宣传报道。</w:t>
      </w:r>
    </w:p>
    <w:p w14:paraId="454D3F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u w:val="none"/>
          <w:lang w:val="en-US" w:eastAsia="zh-CN"/>
        </w:rPr>
      </w:pPr>
      <w:r>
        <w:rPr>
          <w:rFonts w:hint="eastAsia" w:ascii="仿宋" w:hAnsi="仿宋" w:eastAsia="仿宋" w:cs="仿宋"/>
          <w:b w:val="0"/>
          <w:bCs w:val="0"/>
          <w:color w:val="auto"/>
          <w:kern w:val="0"/>
          <w:sz w:val="32"/>
          <w:szCs w:val="32"/>
          <w:u w:val="none"/>
          <w:lang w:val="en-US" w:eastAsia="zh-CN"/>
        </w:rPr>
        <w:t>（三）以专业化为保障，推进计价解释服务精细化</w:t>
      </w:r>
      <w:r>
        <w:rPr>
          <w:rFonts w:hint="eastAsia" w:ascii="仿宋" w:hAnsi="仿宋" w:eastAsia="仿宋" w:cs="仿宋"/>
          <w:b w:val="0"/>
          <w:bCs w:val="0"/>
          <w:color w:val="auto"/>
          <w:sz w:val="32"/>
          <w:szCs w:val="32"/>
          <w:u w:val="none"/>
        </w:rPr>
        <w:t>。</w:t>
      </w:r>
      <w:r>
        <w:rPr>
          <w:rFonts w:hint="eastAsia" w:ascii="仿宋" w:hAnsi="仿宋" w:eastAsia="仿宋" w:cs="仿宋"/>
          <w:b w:val="0"/>
          <w:bCs w:val="0"/>
          <w:color w:val="auto"/>
          <w:kern w:val="0"/>
          <w:sz w:val="32"/>
          <w:szCs w:val="32"/>
          <w:u w:val="none"/>
          <w:lang w:val="en-US" w:eastAsia="zh-CN"/>
        </w:rPr>
        <w:t>一是扎实做好政府投资项目计价服务。为南京地铁项目清单编</w:t>
      </w:r>
      <w:r>
        <w:rPr>
          <w:rFonts w:hint="eastAsia" w:ascii="仿宋" w:hAnsi="仿宋" w:eastAsia="仿宋" w:cs="仿宋"/>
          <w:color w:val="auto"/>
          <w:kern w:val="0"/>
          <w:sz w:val="32"/>
          <w:szCs w:val="32"/>
          <w:u w:val="none"/>
          <w:lang w:val="en-US" w:eastAsia="zh-CN"/>
        </w:rPr>
        <w:t>码以及计算规则编制提供计价指导，及时化解扬子江国际会议中心、中国第二历史档案馆新馆等项目建设过程中的计价争议。</w:t>
      </w:r>
      <w:r>
        <w:rPr>
          <w:rFonts w:hint="eastAsia" w:ascii="仿宋" w:hAnsi="仿宋" w:eastAsia="仿宋" w:cs="仿宋"/>
          <w:b w:val="0"/>
          <w:bCs w:val="0"/>
          <w:color w:val="auto"/>
          <w:kern w:val="0"/>
          <w:sz w:val="32"/>
          <w:szCs w:val="32"/>
          <w:u w:val="none"/>
          <w:lang w:val="en-US" w:eastAsia="zh-CN"/>
        </w:rPr>
        <w:t>二是</w:t>
      </w:r>
      <w:r>
        <w:rPr>
          <w:rFonts w:hint="eastAsia" w:ascii="仿宋" w:hAnsi="仿宋" w:eastAsia="仿宋" w:cs="仿宋"/>
          <w:color w:val="auto"/>
          <w:kern w:val="0"/>
          <w:sz w:val="32"/>
          <w:szCs w:val="32"/>
          <w:u w:val="none"/>
          <w:lang w:val="en-US" w:eastAsia="zh-CN"/>
        </w:rPr>
        <w:t>优化计价解释工作流程，对服务平台计价解释咨询模块进行功能变更及系统优化，提高服务效率。</w:t>
      </w:r>
    </w:p>
    <w:p w14:paraId="013402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u w:val="none"/>
          <w:lang w:val="en-US" w:eastAsia="zh-CN"/>
        </w:rPr>
      </w:pPr>
      <w:r>
        <w:rPr>
          <w:rFonts w:hint="eastAsia" w:ascii="仿宋" w:hAnsi="仿宋" w:eastAsia="仿宋" w:cs="仿宋"/>
          <w:b w:val="0"/>
          <w:bCs w:val="0"/>
          <w:color w:val="auto"/>
          <w:kern w:val="0"/>
          <w:sz w:val="32"/>
          <w:szCs w:val="32"/>
          <w:u w:val="none"/>
          <w:lang w:val="en-US" w:eastAsia="zh-CN"/>
        </w:rPr>
        <w:t>（四）以信用管理为手段，强化造价咨询行业监管。</w:t>
      </w:r>
      <w:r>
        <w:rPr>
          <w:rFonts w:hint="eastAsia" w:ascii="仿宋" w:hAnsi="仿宋" w:eastAsia="仿宋" w:cs="仿宋"/>
          <w:b w:val="0"/>
          <w:bCs w:val="0"/>
          <w:color w:val="auto"/>
          <w:kern w:val="0"/>
          <w:sz w:val="32"/>
          <w:szCs w:val="32"/>
          <w:u w:val="none"/>
          <w:lang w:val="en-US" w:eastAsia="zh-CN"/>
        </w:rPr>
        <w:t>一是不断推进信用监管体系建设，</w:t>
      </w:r>
      <w:r>
        <w:rPr>
          <w:rFonts w:hint="eastAsia" w:ascii="仿宋" w:hAnsi="仿宋" w:eastAsia="仿宋" w:cs="仿宋"/>
          <w:color w:val="auto"/>
          <w:kern w:val="0"/>
          <w:sz w:val="32"/>
          <w:szCs w:val="32"/>
          <w:u w:val="none"/>
          <w:lang w:val="en-US" w:eastAsia="zh-CN"/>
        </w:rPr>
        <w:t>推动企业信用评价成果市场化运用，每季度定期向相关部门推送当季度信用分值排名靠前的企业名单，供相关投资方及建设单位参考使用。</w:t>
      </w:r>
      <w:r>
        <w:rPr>
          <w:rFonts w:hint="eastAsia" w:ascii="仿宋" w:hAnsi="仿宋" w:eastAsia="仿宋" w:cs="仿宋"/>
          <w:b w:val="0"/>
          <w:bCs w:val="0"/>
          <w:color w:val="auto"/>
          <w:kern w:val="0"/>
          <w:sz w:val="32"/>
          <w:szCs w:val="32"/>
          <w:u w:val="none"/>
          <w:lang w:val="en-US" w:eastAsia="zh-CN"/>
        </w:rPr>
        <w:t>二是监</w:t>
      </w:r>
      <w:r>
        <w:rPr>
          <w:rFonts w:hint="eastAsia" w:ascii="仿宋" w:hAnsi="仿宋" w:eastAsia="仿宋" w:cs="仿宋"/>
          <w:color w:val="auto"/>
          <w:kern w:val="0"/>
          <w:sz w:val="32"/>
          <w:szCs w:val="32"/>
          <w:u w:val="none"/>
          <w:lang w:val="en-US" w:eastAsia="zh-CN"/>
        </w:rPr>
        <w:t>督指导市造价协会完成我市128家造价咨询企业省级信用评价现场评价工作。</w:t>
      </w:r>
    </w:p>
    <w:p w14:paraId="5A5D70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kern w:val="0"/>
          <w:sz w:val="32"/>
          <w:szCs w:val="32"/>
          <w:u w:val="none"/>
          <w:lang w:val="en-US" w:eastAsia="zh-CN"/>
        </w:rPr>
      </w:pPr>
      <w:r>
        <w:rPr>
          <w:rFonts w:hint="eastAsia" w:ascii="仿宋" w:hAnsi="仿宋" w:eastAsia="仿宋" w:cs="仿宋"/>
          <w:b w:val="0"/>
          <w:bCs w:val="0"/>
          <w:color w:val="auto"/>
          <w:kern w:val="0"/>
          <w:sz w:val="32"/>
          <w:szCs w:val="32"/>
          <w:u w:val="none"/>
          <w:lang w:val="en-US" w:eastAsia="zh-CN"/>
        </w:rPr>
        <w:t>（五）以问题整治为重点，持续规范造价市场秩序。</w:t>
      </w:r>
      <w:r>
        <w:rPr>
          <w:rFonts w:hint="eastAsia" w:ascii="仿宋" w:hAnsi="仿宋" w:eastAsia="仿宋" w:cs="仿宋"/>
          <w:b/>
          <w:bCs/>
          <w:color w:val="auto"/>
          <w:kern w:val="0"/>
          <w:sz w:val="32"/>
          <w:szCs w:val="32"/>
          <w:u w:val="none"/>
          <w:lang w:val="en-US" w:eastAsia="zh-CN"/>
        </w:rPr>
        <w:t>一</w:t>
      </w:r>
      <w:r>
        <w:rPr>
          <w:rFonts w:hint="eastAsia" w:ascii="仿宋" w:hAnsi="仿宋" w:eastAsia="仿宋" w:cs="仿宋"/>
          <w:b w:val="0"/>
          <w:bCs w:val="0"/>
          <w:color w:val="auto"/>
          <w:kern w:val="0"/>
          <w:sz w:val="32"/>
          <w:szCs w:val="32"/>
          <w:u w:val="none"/>
          <w:lang w:val="en-US" w:eastAsia="zh-CN"/>
        </w:rPr>
        <w:t>是针</w:t>
      </w:r>
      <w:r>
        <w:rPr>
          <w:rFonts w:hint="eastAsia" w:ascii="仿宋" w:hAnsi="仿宋" w:eastAsia="仿宋" w:cs="仿宋"/>
          <w:color w:val="auto"/>
          <w:kern w:val="0"/>
          <w:sz w:val="32"/>
          <w:szCs w:val="32"/>
          <w:u w:val="none"/>
          <w:lang w:val="en-US" w:eastAsia="zh-CN"/>
        </w:rPr>
        <w:t>对省住建厅《关于对发生六种情形的工程造价咨询企业实施重点监管的意见》的相关要求，研究制定市级层面落实方案。二是开展造价工程师违规“挂证”行为专项治理。根据住建部标准定额司推送的注册单位与实际社保缴纳不一致人员名单，逐一核查，对于存在问题的，要求其及时整改。</w:t>
      </w:r>
    </w:p>
    <w:p w14:paraId="48CECA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u w:val="none"/>
          <w:lang w:eastAsia="zh-CN"/>
        </w:rPr>
      </w:pPr>
      <w:r>
        <w:rPr>
          <w:rFonts w:hint="eastAsia" w:ascii="仿宋" w:hAnsi="仿宋" w:eastAsia="仿宋" w:cs="仿宋"/>
          <w:b w:val="0"/>
          <w:bCs w:val="0"/>
          <w:color w:val="auto"/>
          <w:kern w:val="0"/>
          <w:sz w:val="32"/>
          <w:szCs w:val="32"/>
          <w:u w:val="none"/>
          <w:lang w:val="en-US" w:eastAsia="zh-CN"/>
        </w:rPr>
        <w:t>（六）以行业自律为抓手，推动行业廉洁自律建设。</w:t>
      </w:r>
      <w:r>
        <w:rPr>
          <w:rFonts w:hint="eastAsia" w:ascii="仿宋" w:hAnsi="仿宋" w:eastAsia="仿宋" w:cs="仿宋"/>
          <w:color w:val="auto"/>
          <w:kern w:val="0"/>
          <w:sz w:val="32"/>
          <w:szCs w:val="32"/>
          <w:u w:val="none"/>
          <w:lang w:val="en-US" w:eastAsia="zh-CN"/>
        </w:rPr>
        <w:t>全年3次组织全市190余家造价咨询企业开展崇廉倡廉专题学习教育，引导企业和人员牢固树立底线思维和“红线”意识，增强拒腐防变能力。此外，指导督促市造价协会完善我市工程造价咨询行业的自我约束和相互监督机制，制定《南京市工程造价咨询行业廉洁自律公约》，为我市造价咨询行业生态打好坚实基础。</w:t>
      </w:r>
    </w:p>
    <w:p w14:paraId="120D4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b w:val="0"/>
          <w:bCs w:val="0"/>
          <w:color w:val="auto"/>
          <w:sz w:val="32"/>
          <w:szCs w:val="32"/>
          <w:u w:val="none"/>
          <w:lang w:val="en-US" w:eastAsia="zh-CN"/>
        </w:rPr>
        <w:t>（七）以市场化为导向，</w:t>
      </w:r>
      <w:r>
        <w:rPr>
          <w:rFonts w:hint="eastAsia" w:ascii="仿宋" w:hAnsi="仿宋" w:eastAsia="仿宋" w:cs="仿宋"/>
          <w:b w:val="0"/>
          <w:bCs w:val="0"/>
          <w:color w:val="auto"/>
          <w:sz w:val="32"/>
          <w:szCs w:val="32"/>
          <w:u w:val="none"/>
          <w:lang w:eastAsia="zh-CN"/>
        </w:rPr>
        <w:t>优化</w:t>
      </w:r>
      <w:r>
        <w:rPr>
          <w:rFonts w:hint="eastAsia" w:ascii="仿宋" w:hAnsi="仿宋" w:eastAsia="仿宋" w:cs="仿宋"/>
          <w:b w:val="0"/>
          <w:bCs w:val="0"/>
          <w:color w:val="auto"/>
          <w:sz w:val="32"/>
          <w:szCs w:val="32"/>
          <w:u w:val="none"/>
        </w:rPr>
        <w:t>材料信息价格发布</w:t>
      </w:r>
      <w:r>
        <w:rPr>
          <w:rFonts w:hint="eastAsia" w:ascii="仿宋" w:hAnsi="仿宋" w:eastAsia="仿宋" w:cs="仿宋"/>
          <w:b w:val="0"/>
          <w:bCs w:val="0"/>
          <w:color w:val="auto"/>
          <w:sz w:val="32"/>
          <w:szCs w:val="32"/>
          <w:u w:val="none"/>
          <w:lang w:eastAsia="zh-CN"/>
        </w:rPr>
        <w:t>机制</w:t>
      </w:r>
      <w:r>
        <w:rPr>
          <w:rFonts w:hint="eastAsia" w:ascii="仿宋" w:hAnsi="仿宋" w:eastAsia="仿宋" w:cs="仿宋"/>
          <w:b w:val="0"/>
          <w:bCs w:val="0"/>
          <w:color w:val="auto"/>
          <w:sz w:val="32"/>
          <w:szCs w:val="32"/>
          <w:u w:val="none"/>
        </w:rPr>
        <w:t>。</w:t>
      </w:r>
      <w:r>
        <w:rPr>
          <w:rFonts w:hint="eastAsia" w:ascii="仿宋" w:hAnsi="仿宋" w:eastAsia="仿宋" w:cs="仿宋"/>
          <w:b w:val="0"/>
          <w:bCs w:val="0"/>
          <w:color w:val="auto"/>
          <w:sz w:val="32"/>
          <w:szCs w:val="32"/>
          <w:u w:val="none"/>
          <w:lang w:eastAsia="zh-CN"/>
        </w:rPr>
        <w:t>一是修订完善《南京市建设工程材料信息价格管理办法》；二是优化调整信息价发布模板，删除建筑、安装、市政等材料共20种，优化调整建筑、安装材料5种；三是通过实地考察、开展座谈、收集合同报表等方式，改进商品混凝土等重点材料信息价格分析方法；四是以常</w:t>
      </w:r>
      <w:r>
        <w:rPr>
          <w:rFonts w:hint="eastAsia" w:ascii="仿宋" w:hAnsi="仿宋" w:eastAsia="仿宋" w:cs="仿宋"/>
          <w:color w:val="auto"/>
          <w:sz w:val="32"/>
          <w:szCs w:val="32"/>
          <w:u w:val="none"/>
          <w:lang w:eastAsia="zh-CN"/>
        </w:rPr>
        <w:t>态调研为基础，做好材料价格定期发布。</w:t>
      </w:r>
    </w:p>
    <w:p w14:paraId="4AE0A521">
      <w:pPr>
        <w:keepNext w:val="0"/>
        <w:keepLines w:val="0"/>
        <w:pageBreakBefore w:val="0"/>
        <w:widowControl/>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四、存在问题及原因分析</w:t>
      </w:r>
    </w:p>
    <w:p w14:paraId="220BC2F6">
      <w:pPr>
        <w:keepNext w:val="0"/>
        <w:keepLines w:val="0"/>
        <w:pageBreakBefore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（一）当前市场上存在部分以低于合理成本价承接工程造价咨询业务的情形，易产生恶性竞争的趋势，对造价市场造成不良影响。</w:t>
      </w:r>
    </w:p>
    <w:p w14:paraId="4555E381">
      <w:pPr>
        <w:keepNext w:val="0"/>
        <w:keepLines w:val="0"/>
        <w:pageBreakBefore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sz w:val="32"/>
          <w:szCs w:val="32"/>
          <w:lang w:val="en-US" w:eastAsia="zh-CN"/>
        </w:rPr>
        <w:t>（二）由于建设工程项目数量减少，导致信息采集渠道缩减，对材料价格信息的及时性和准确性造成挑战。</w:t>
      </w:r>
    </w:p>
    <w:p w14:paraId="7CAD6CFC">
      <w:pPr>
        <w:keepNext w:val="0"/>
        <w:keepLines w:val="0"/>
        <w:pageBreakBefore w:val="0"/>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五、有关建议</w:t>
      </w:r>
    </w:p>
    <w:p w14:paraId="17D992A5">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希望进一步加强财政预算资金绩效管理业务培训力度，并且组织各个部门人员参与学习交流活动，让我们基层预算单位在此过程中，既可以学习相关的财政预算资金管理知识，又可以吸纳优秀单位的经验，进一步熟悉掌握绩效评价工作程序、方法和要求，为今后工作开展打下基础。</w:t>
      </w:r>
    </w:p>
    <w:p w14:paraId="54F1BD15">
      <w:pPr>
        <w:keepNext w:val="0"/>
        <w:keepLines w:val="0"/>
        <w:pageBreakBefore w:val="0"/>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六、评价工作开展情况及其他需说明的情况</w:t>
      </w:r>
    </w:p>
    <w:p w14:paraId="427C0E44">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认真做好此次绩效评价工作，市造价站明确由办公室牵头具体落实，各科室负责配合做好相关工作。一是认真学习文件。熟悉掌握绩效评价工作程序、方法和要求；二是制订单位整体绩效评价指标体系和评价要点。根据单位职能、工作目标，通过充分讨论研究，制定出评价指标体系和评价要点；三是广泛搜集资料、通过分析研究，对评价指标进行打分，形成部门整体绩效评价报告。</w:t>
      </w:r>
    </w:p>
    <w:p w14:paraId="45BC241E">
      <w:pPr>
        <w:pStyle w:val="4"/>
        <w:ind w:left="739" w:leftChars="352" w:firstLine="0" w:firstLineChars="0"/>
        <w:rPr>
          <w:rFonts w:hint="default" w:ascii="Times New Roman" w:hAnsi="Times New Roman" w:eastAsia="仿宋_GB2312" w:cs="Times New Roman"/>
          <w:color w:val="auto"/>
          <w:kern w:val="2"/>
          <w:sz w:val="32"/>
          <w:szCs w:val="24"/>
          <w:lang w:val="en-US" w:eastAsia="zh-CN" w:bidi="ar-SA"/>
        </w:rPr>
      </w:pPr>
    </w:p>
    <w:p w14:paraId="4CD5E1FE">
      <w:pPr>
        <w:pStyle w:val="4"/>
        <w:ind w:left="739" w:leftChars="352" w:firstLine="0" w:firstLineChars="0"/>
        <w:rPr>
          <w:rFonts w:hint="eastAsia" w:ascii="仿宋" w:hAnsi="仿宋" w:eastAsia="仿宋" w:cs="仿宋"/>
          <w:color w:val="auto"/>
          <w:kern w:val="2"/>
          <w:sz w:val="32"/>
          <w:szCs w:val="24"/>
          <w:lang w:val="en-US" w:eastAsia="zh-CN" w:bidi="ar-SA"/>
        </w:rPr>
      </w:pPr>
      <w:r>
        <w:rPr>
          <w:rFonts w:hint="default" w:ascii="仿宋" w:hAnsi="仿宋" w:eastAsia="仿宋" w:cs="仿宋"/>
          <w:color w:val="auto"/>
          <w:kern w:val="2"/>
          <w:sz w:val="32"/>
          <w:szCs w:val="24"/>
          <w:lang w:val="en-US" w:eastAsia="zh-CN" w:bidi="ar-SA"/>
        </w:rPr>
        <w:t>附件：</w:t>
      </w:r>
      <w:r>
        <w:rPr>
          <w:rFonts w:hint="eastAsia" w:ascii="仿宋" w:hAnsi="仿宋" w:eastAsia="仿宋" w:cs="仿宋"/>
          <w:color w:val="auto"/>
          <w:kern w:val="2"/>
          <w:sz w:val="32"/>
          <w:szCs w:val="24"/>
          <w:lang w:val="en-US" w:eastAsia="zh-CN" w:bidi="ar-SA"/>
        </w:rPr>
        <w:t>2024年度</w:t>
      </w:r>
      <w:r>
        <w:rPr>
          <w:rFonts w:hint="default" w:ascii="仿宋" w:hAnsi="仿宋" w:eastAsia="仿宋" w:cs="仿宋"/>
          <w:color w:val="auto"/>
          <w:kern w:val="2"/>
          <w:sz w:val="32"/>
          <w:szCs w:val="24"/>
          <w:lang w:val="en-US" w:eastAsia="zh-CN" w:bidi="ar-SA"/>
        </w:rPr>
        <w:t>部门整体绩效评价指标体系</w:t>
      </w:r>
      <w:r>
        <w:rPr>
          <w:rFonts w:hint="eastAsia" w:ascii="仿宋" w:hAnsi="仿宋" w:eastAsia="仿宋" w:cs="仿宋"/>
          <w:color w:val="auto"/>
          <w:kern w:val="2"/>
          <w:sz w:val="32"/>
          <w:szCs w:val="24"/>
          <w:lang w:val="en-US" w:eastAsia="zh-CN" w:bidi="ar-SA"/>
        </w:rPr>
        <w:t>得分表</w:t>
      </w:r>
    </w:p>
    <w:p w14:paraId="007FB01B">
      <w:pPr>
        <w:pStyle w:val="4"/>
        <w:rPr>
          <w:rFonts w:hint="default" w:ascii="Times New Roman" w:hAnsi="Times New Roman" w:eastAsia="方正仿宋_GBK" w:cs="Times New Roman"/>
          <w:color w:val="000000"/>
          <w:kern w:val="0"/>
          <w:sz w:val="32"/>
          <w:szCs w:val="32"/>
        </w:rPr>
      </w:pPr>
    </w:p>
    <w:p w14:paraId="74CEA74A">
      <w:pPr>
        <w:pStyle w:val="4"/>
        <w:rPr>
          <w:rFonts w:hint="default" w:ascii="Times New Roman" w:hAnsi="Times New Roman" w:eastAsia="方正仿宋_GBK" w:cs="Times New Roman"/>
          <w:color w:val="000000"/>
          <w:kern w:val="0"/>
          <w:sz w:val="32"/>
          <w:szCs w:val="32"/>
        </w:rPr>
      </w:pPr>
    </w:p>
    <w:p w14:paraId="52E2A087">
      <w:pPr>
        <w:pStyle w:val="4"/>
        <w:rPr>
          <w:rFonts w:hint="default" w:ascii="Times New Roman" w:hAnsi="Times New Roman" w:eastAsia="方正仿宋_GBK" w:cs="Times New Roman"/>
          <w:color w:val="000000"/>
          <w:kern w:val="0"/>
          <w:sz w:val="32"/>
          <w:szCs w:val="32"/>
        </w:rPr>
      </w:pPr>
    </w:p>
    <w:p w14:paraId="6E769806">
      <w:pPr>
        <w:pStyle w:val="4"/>
        <w:rPr>
          <w:rFonts w:hint="default" w:ascii="Times New Roman" w:hAnsi="Times New Roman" w:eastAsia="方正仿宋_GBK" w:cs="Times New Roman"/>
          <w:color w:val="000000"/>
          <w:kern w:val="0"/>
          <w:sz w:val="32"/>
          <w:szCs w:val="32"/>
        </w:rPr>
      </w:pPr>
    </w:p>
    <w:p w14:paraId="054D9737">
      <w:pPr>
        <w:pStyle w:val="4"/>
        <w:rPr>
          <w:rFonts w:hint="default" w:ascii="Times New Roman" w:hAnsi="Times New Roman" w:eastAsia="方正仿宋_GBK" w:cs="Times New Roman"/>
          <w:color w:val="000000"/>
          <w:kern w:val="0"/>
          <w:sz w:val="32"/>
          <w:szCs w:val="32"/>
        </w:rPr>
      </w:pPr>
    </w:p>
    <w:p w14:paraId="30A0773C">
      <w:pPr>
        <w:pStyle w:val="4"/>
        <w:rPr>
          <w:rFonts w:hint="default" w:ascii="Times New Roman" w:hAnsi="Times New Roman" w:eastAsia="方正仿宋_GBK" w:cs="Times New Roman"/>
          <w:color w:val="000000"/>
          <w:kern w:val="0"/>
          <w:sz w:val="32"/>
          <w:szCs w:val="32"/>
        </w:rPr>
      </w:pPr>
    </w:p>
    <w:p w14:paraId="0FF9F9F9">
      <w:pPr>
        <w:pStyle w:val="4"/>
        <w:rPr>
          <w:rFonts w:hint="default" w:ascii="Times New Roman" w:hAnsi="Times New Roman" w:eastAsia="方正仿宋_GBK" w:cs="Times New Roman"/>
          <w:color w:val="000000"/>
          <w:kern w:val="0"/>
          <w:sz w:val="32"/>
          <w:szCs w:val="32"/>
        </w:rPr>
      </w:pPr>
    </w:p>
    <w:p w14:paraId="2874A59A">
      <w:pPr>
        <w:pStyle w:val="4"/>
        <w:rPr>
          <w:rFonts w:hint="default" w:ascii="Times New Roman" w:hAnsi="Times New Roman" w:eastAsia="方正仿宋_GBK" w:cs="Times New Roman"/>
          <w:color w:val="000000"/>
          <w:kern w:val="0"/>
          <w:sz w:val="32"/>
          <w:szCs w:val="32"/>
        </w:rPr>
        <w:sectPr>
          <w:footerReference r:id="rId3" w:type="default"/>
          <w:pgSz w:w="11906" w:h="16838"/>
          <w:pgMar w:top="2098" w:right="1587" w:bottom="1701" w:left="1587" w:header="851" w:footer="992" w:gutter="0"/>
          <w:pgNumType w:fmt="decimal"/>
          <w:cols w:space="0" w:num="1"/>
          <w:rtlGutter w:val="0"/>
          <w:docGrid w:linePitch="312" w:charSpace="0"/>
        </w:sectPr>
      </w:pPr>
    </w:p>
    <w:p w14:paraId="2BDB6071">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Times New Roman" w:hAnsi="Times New Roman" w:eastAsia="方正仿宋_GBK" w:cs="Times New Roman"/>
          <w:szCs w:val="22"/>
          <w:lang w:eastAsia="zh-CN"/>
        </w:rPr>
      </w:pPr>
      <w:r>
        <w:rPr>
          <w:rFonts w:hint="eastAsia" w:ascii="Times New Roman" w:hAnsi="Times New Roman" w:eastAsia="方正仿宋_GBK" w:cs="Times New Roman"/>
          <w:szCs w:val="22"/>
        </w:rPr>
        <w:t>附件：</w:t>
      </w:r>
      <w:r>
        <w:rPr>
          <w:rFonts w:hint="eastAsia" w:ascii="Times New Roman" w:hAnsi="Times New Roman" w:eastAsia="方正仿宋_GBK" w:cs="Times New Roman"/>
          <w:szCs w:val="22"/>
          <w:lang w:val="en-US" w:eastAsia="zh-CN"/>
        </w:rPr>
        <w:t>2024年度</w:t>
      </w:r>
      <w:r>
        <w:rPr>
          <w:rFonts w:hint="eastAsia" w:ascii="Times New Roman" w:hAnsi="Times New Roman" w:eastAsia="方正仿宋_GBK" w:cs="Times New Roman"/>
          <w:szCs w:val="22"/>
        </w:rPr>
        <w:t>部门整体绩效评价指标体系</w:t>
      </w:r>
      <w:r>
        <w:rPr>
          <w:rFonts w:hint="eastAsia" w:ascii="Times New Roman" w:hAnsi="Times New Roman" w:eastAsia="方正仿宋_GBK" w:cs="Times New Roman"/>
          <w:szCs w:val="22"/>
          <w:lang w:eastAsia="zh-CN"/>
        </w:rPr>
        <w:t>得分表</w:t>
      </w:r>
    </w:p>
    <w:tbl>
      <w:tblPr>
        <w:tblStyle w:val="5"/>
        <w:tblpPr w:leftFromText="180" w:rightFromText="180" w:vertAnchor="page" w:horzAnchor="page" w:tblpX="1372" w:tblpY="2213"/>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3260"/>
        <w:gridCol w:w="3828"/>
        <w:gridCol w:w="850"/>
        <w:gridCol w:w="851"/>
        <w:gridCol w:w="3260"/>
      </w:tblGrid>
      <w:tr w14:paraId="65567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blHeader/>
        </w:trPr>
        <w:tc>
          <w:tcPr>
            <w:tcW w:w="2268" w:type="dxa"/>
            <w:shd w:val="clear" w:color="auto" w:fill="auto"/>
            <w:vAlign w:val="center"/>
          </w:tcPr>
          <w:p w14:paraId="6A145741">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一级指标</w:t>
            </w:r>
          </w:p>
        </w:tc>
        <w:tc>
          <w:tcPr>
            <w:tcW w:w="3260" w:type="dxa"/>
            <w:shd w:val="clear" w:color="auto" w:fill="auto"/>
            <w:vAlign w:val="center"/>
          </w:tcPr>
          <w:p w14:paraId="726C91D9">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二级指标</w:t>
            </w:r>
          </w:p>
        </w:tc>
        <w:tc>
          <w:tcPr>
            <w:tcW w:w="3828" w:type="dxa"/>
            <w:shd w:val="clear" w:color="auto" w:fill="auto"/>
            <w:vAlign w:val="center"/>
          </w:tcPr>
          <w:p w14:paraId="538C2952">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三级指标（参考）</w:t>
            </w:r>
          </w:p>
        </w:tc>
        <w:tc>
          <w:tcPr>
            <w:tcW w:w="850" w:type="dxa"/>
            <w:shd w:val="clear" w:color="auto" w:fill="auto"/>
            <w:vAlign w:val="center"/>
          </w:tcPr>
          <w:p w14:paraId="00C3B533">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权重</w:t>
            </w:r>
          </w:p>
        </w:tc>
        <w:tc>
          <w:tcPr>
            <w:tcW w:w="851" w:type="dxa"/>
            <w:vAlign w:val="center"/>
          </w:tcPr>
          <w:p w14:paraId="6FA758A8">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得分</w:t>
            </w:r>
          </w:p>
        </w:tc>
        <w:tc>
          <w:tcPr>
            <w:tcW w:w="3260" w:type="dxa"/>
            <w:shd w:val="clear" w:color="auto" w:fill="auto"/>
            <w:vAlign w:val="center"/>
          </w:tcPr>
          <w:p w14:paraId="4D59DE53">
            <w:pPr>
              <w:widowControl/>
              <w:rPr>
                <w:rFonts w:ascii="Times New Roman" w:hAnsi="Times New Roman" w:eastAsia="方正仿宋_GBK" w:cs="Times New Roman"/>
                <w:b/>
                <w:bCs/>
                <w:color w:val="000000"/>
                <w:kern w:val="0"/>
                <w:sz w:val="24"/>
                <w:szCs w:val="24"/>
              </w:rPr>
            </w:pPr>
            <w:r>
              <w:rPr>
                <w:rFonts w:hint="eastAsia" w:ascii="Times New Roman" w:hAnsi="Times New Roman" w:eastAsia="方正仿宋_GBK" w:cs="Times New Roman"/>
                <w:b/>
                <w:bCs/>
                <w:color w:val="000000"/>
                <w:kern w:val="0"/>
                <w:sz w:val="24"/>
                <w:szCs w:val="24"/>
              </w:rPr>
              <w:t>评价要点</w:t>
            </w:r>
          </w:p>
        </w:tc>
      </w:tr>
      <w:tr w14:paraId="477D2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2" w:hRule="atLeast"/>
        </w:trPr>
        <w:tc>
          <w:tcPr>
            <w:tcW w:w="2268" w:type="dxa"/>
            <w:vMerge w:val="restart"/>
            <w:shd w:val="clear" w:color="auto" w:fill="auto"/>
            <w:vAlign w:val="center"/>
          </w:tcPr>
          <w:p w14:paraId="26149A6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A部门决策（1</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分）</w:t>
            </w:r>
          </w:p>
        </w:tc>
        <w:tc>
          <w:tcPr>
            <w:tcW w:w="3260" w:type="dxa"/>
            <w:vMerge w:val="restart"/>
            <w:shd w:val="clear" w:color="auto" w:fill="auto"/>
            <w:vAlign w:val="center"/>
          </w:tcPr>
          <w:p w14:paraId="2B0B9FB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A1决策机制（</w:t>
            </w:r>
            <w:r>
              <w:rPr>
                <w:rFonts w:hint="eastAsia" w:ascii="Times New Roman" w:hAnsi="Times New Roman" w:eastAsia="方正仿宋_GBK" w:cs="Times New Roman"/>
                <w:color w:val="000000"/>
                <w:kern w:val="0"/>
                <w:sz w:val="24"/>
                <w:szCs w:val="24"/>
                <w:lang w:val="en-US" w:eastAsia="zh-CN"/>
              </w:rPr>
              <w:t>9</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4BD3835E">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A11决策制度的规范性</w:t>
            </w:r>
          </w:p>
        </w:tc>
        <w:tc>
          <w:tcPr>
            <w:tcW w:w="850" w:type="dxa"/>
            <w:shd w:val="clear" w:color="auto" w:fill="auto"/>
            <w:vAlign w:val="center"/>
          </w:tcPr>
          <w:p w14:paraId="5D03F642">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5A6BDC7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4596214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决策制度规范</w:t>
            </w:r>
          </w:p>
        </w:tc>
      </w:tr>
      <w:tr w14:paraId="795E3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2268" w:type="dxa"/>
            <w:vMerge w:val="continue"/>
            <w:vAlign w:val="center"/>
          </w:tcPr>
          <w:p w14:paraId="3495699C">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1A7FE872">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2938C91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A12决策流程的科学性</w:t>
            </w:r>
          </w:p>
        </w:tc>
        <w:tc>
          <w:tcPr>
            <w:tcW w:w="850" w:type="dxa"/>
            <w:shd w:val="clear" w:color="auto" w:fill="auto"/>
            <w:vAlign w:val="center"/>
          </w:tcPr>
          <w:p w14:paraId="25528D73">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71CD013C">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170D8F2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决策流程科学</w:t>
            </w:r>
          </w:p>
        </w:tc>
      </w:tr>
      <w:tr w14:paraId="0EC11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CE770DD">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4AE27920">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4D8113C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A13决策执行监督制衡机制</w:t>
            </w:r>
          </w:p>
        </w:tc>
        <w:tc>
          <w:tcPr>
            <w:tcW w:w="850" w:type="dxa"/>
            <w:shd w:val="clear" w:color="auto" w:fill="auto"/>
            <w:vAlign w:val="center"/>
          </w:tcPr>
          <w:p w14:paraId="1EBFFE9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11F3F3DF">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282728C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决策执行监督互相制衡</w:t>
            </w:r>
          </w:p>
        </w:tc>
      </w:tr>
      <w:tr w14:paraId="6457C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BBA0BD2">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5E22F83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A2中长期规划（2分）</w:t>
            </w:r>
          </w:p>
        </w:tc>
        <w:tc>
          <w:tcPr>
            <w:tcW w:w="3828" w:type="dxa"/>
            <w:shd w:val="clear" w:color="auto" w:fill="auto"/>
            <w:vAlign w:val="center"/>
          </w:tcPr>
          <w:p w14:paraId="04693BE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A21中长期规划明确性</w:t>
            </w:r>
          </w:p>
        </w:tc>
        <w:tc>
          <w:tcPr>
            <w:tcW w:w="850" w:type="dxa"/>
            <w:shd w:val="clear" w:color="auto" w:fill="auto"/>
            <w:vAlign w:val="center"/>
          </w:tcPr>
          <w:p w14:paraId="6BE731D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5A49AF4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968273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中长期规划明确</w:t>
            </w:r>
          </w:p>
        </w:tc>
      </w:tr>
      <w:tr w14:paraId="09F678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44A59B0">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777143BC">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0C15578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A22中长期规划与部门职能的匹配性</w:t>
            </w:r>
          </w:p>
        </w:tc>
        <w:tc>
          <w:tcPr>
            <w:tcW w:w="850" w:type="dxa"/>
            <w:shd w:val="clear" w:color="auto" w:fill="auto"/>
            <w:vAlign w:val="center"/>
          </w:tcPr>
          <w:p w14:paraId="750950B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1156DBE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1814D57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中长期规划与部门职能匹配</w:t>
            </w:r>
          </w:p>
        </w:tc>
      </w:tr>
      <w:tr w14:paraId="128FF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9FCA09B">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1786AF7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A3年度工作计划（2分）</w:t>
            </w:r>
          </w:p>
        </w:tc>
        <w:tc>
          <w:tcPr>
            <w:tcW w:w="3828" w:type="dxa"/>
            <w:shd w:val="clear" w:color="auto" w:fill="auto"/>
            <w:vAlign w:val="center"/>
          </w:tcPr>
          <w:p w14:paraId="1CEEE34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A31年度工作计划明确性</w:t>
            </w:r>
          </w:p>
        </w:tc>
        <w:tc>
          <w:tcPr>
            <w:tcW w:w="850" w:type="dxa"/>
            <w:shd w:val="clear" w:color="auto" w:fill="auto"/>
            <w:vAlign w:val="center"/>
          </w:tcPr>
          <w:p w14:paraId="709547E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5C69C28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2712886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年度工作计划明确</w:t>
            </w:r>
          </w:p>
        </w:tc>
      </w:tr>
      <w:tr w14:paraId="64AAA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EE70416">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3F21B318">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5EA309F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A32年度工作计划与部门职能的匹配性</w:t>
            </w:r>
          </w:p>
        </w:tc>
        <w:tc>
          <w:tcPr>
            <w:tcW w:w="850" w:type="dxa"/>
            <w:shd w:val="clear" w:color="auto" w:fill="auto"/>
            <w:vAlign w:val="center"/>
          </w:tcPr>
          <w:p w14:paraId="124083A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789279B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8F81DE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年度工作计划与部门职能匹配</w:t>
            </w:r>
          </w:p>
        </w:tc>
      </w:tr>
      <w:tr w14:paraId="5A23C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961533C">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706479C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A4部门预算编制（2分）</w:t>
            </w:r>
          </w:p>
        </w:tc>
        <w:tc>
          <w:tcPr>
            <w:tcW w:w="3828" w:type="dxa"/>
            <w:shd w:val="clear" w:color="auto" w:fill="auto"/>
            <w:vAlign w:val="center"/>
          </w:tcPr>
          <w:p w14:paraId="49AC858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A41预算编制科学规范</w:t>
            </w:r>
          </w:p>
        </w:tc>
        <w:tc>
          <w:tcPr>
            <w:tcW w:w="850" w:type="dxa"/>
            <w:shd w:val="clear" w:color="auto" w:fill="auto"/>
            <w:vAlign w:val="center"/>
          </w:tcPr>
          <w:p w14:paraId="7E263A5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02ADF6C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2AE6D88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预算编制科学</w:t>
            </w:r>
          </w:p>
        </w:tc>
      </w:tr>
      <w:tr w14:paraId="786C5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0814F91">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171612AD">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35E5585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A42预算编制与重点工作任务的匹配性</w:t>
            </w:r>
          </w:p>
        </w:tc>
        <w:tc>
          <w:tcPr>
            <w:tcW w:w="850" w:type="dxa"/>
            <w:shd w:val="clear" w:color="auto" w:fill="auto"/>
            <w:vAlign w:val="center"/>
          </w:tcPr>
          <w:p w14:paraId="05FCCD3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3AA8381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10A5025E">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预算编制与重点工作匹配</w:t>
            </w:r>
          </w:p>
        </w:tc>
      </w:tr>
      <w:tr w14:paraId="622D7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noWrap/>
            <w:vAlign w:val="center"/>
          </w:tcPr>
          <w:p w14:paraId="524C77A2">
            <w:pPr>
              <w:widowControl/>
              <w:jc w:val="left"/>
              <w:rPr>
                <w:rFonts w:ascii="Times New Roman" w:hAnsi="Times New Roman" w:eastAsia="方正仿宋_GBK" w:cs="Times New Roman"/>
                <w:color w:val="000000"/>
                <w:kern w:val="0"/>
                <w:sz w:val="24"/>
                <w:szCs w:val="24"/>
              </w:rPr>
            </w:pPr>
          </w:p>
          <w:p w14:paraId="368583B0">
            <w:pPr>
              <w:widowControl/>
              <w:jc w:val="left"/>
              <w:rPr>
                <w:rFonts w:ascii="Times New Roman" w:hAnsi="Times New Roman" w:eastAsia="方正仿宋_GBK" w:cs="Times New Roman"/>
                <w:color w:val="000000"/>
                <w:kern w:val="0"/>
                <w:sz w:val="24"/>
                <w:szCs w:val="24"/>
              </w:rPr>
            </w:pPr>
          </w:p>
          <w:p w14:paraId="546888F1">
            <w:pPr>
              <w:widowControl/>
              <w:jc w:val="left"/>
              <w:rPr>
                <w:rFonts w:ascii="Times New Roman" w:hAnsi="Times New Roman" w:eastAsia="方正仿宋_GBK" w:cs="Times New Roman"/>
                <w:color w:val="000000"/>
                <w:kern w:val="0"/>
                <w:sz w:val="24"/>
                <w:szCs w:val="24"/>
              </w:rPr>
            </w:pPr>
          </w:p>
          <w:p w14:paraId="703E7468">
            <w:pPr>
              <w:widowControl/>
              <w:jc w:val="left"/>
              <w:rPr>
                <w:rFonts w:ascii="Times New Roman" w:hAnsi="Times New Roman" w:eastAsia="方正仿宋_GBK" w:cs="Times New Roman"/>
                <w:color w:val="000000"/>
                <w:kern w:val="0"/>
                <w:sz w:val="24"/>
                <w:szCs w:val="24"/>
              </w:rPr>
            </w:pPr>
          </w:p>
          <w:p w14:paraId="68035258">
            <w:pPr>
              <w:widowControl/>
              <w:jc w:val="left"/>
              <w:rPr>
                <w:rFonts w:ascii="Times New Roman" w:hAnsi="Times New Roman" w:eastAsia="方正仿宋_GBK" w:cs="Times New Roman"/>
                <w:color w:val="000000"/>
                <w:kern w:val="0"/>
                <w:sz w:val="24"/>
                <w:szCs w:val="24"/>
              </w:rPr>
            </w:pPr>
          </w:p>
          <w:p w14:paraId="5787A7B1">
            <w:pPr>
              <w:widowControl/>
              <w:jc w:val="left"/>
              <w:rPr>
                <w:rFonts w:ascii="Times New Roman" w:hAnsi="Times New Roman" w:eastAsia="方正仿宋_GBK" w:cs="Times New Roman"/>
                <w:color w:val="000000"/>
                <w:kern w:val="0"/>
                <w:sz w:val="24"/>
                <w:szCs w:val="24"/>
              </w:rPr>
            </w:pPr>
          </w:p>
          <w:p w14:paraId="616BC349">
            <w:pPr>
              <w:widowControl/>
              <w:jc w:val="left"/>
              <w:rPr>
                <w:rFonts w:ascii="Times New Roman" w:hAnsi="Times New Roman" w:eastAsia="方正仿宋_GBK" w:cs="Times New Roman"/>
                <w:color w:val="000000"/>
                <w:kern w:val="0"/>
                <w:sz w:val="24"/>
                <w:szCs w:val="24"/>
              </w:rPr>
            </w:pPr>
          </w:p>
          <w:p w14:paraId="251CCE3F">
            <w:pPr>
              <w:widowControl/>
              <w:jc w:val="left"/>
              <w:rPr>
                <w:rFonts w:ascii="Times New Roman" w:hAnsi="Times New Roman" w:eastAsia="方正仿宋_GBK" w:cs="Times New Roman"/>
                <w:color w:val="000000"/>
                <w:kern w:val="0"/>
                <w:sz w:val="24"/>
                <w:szCs w:val="24"/>
              </w:rPr>
            </w:pPr>
          </w:p>
          <w:p w14:paraId="3F328D37">
            <w:pPr>
              <w:widowControl/>
              <w:jc w:val="left"/>
              <w:rPr>
                <w:rFonts w:ascii="Times New Roman" w:hAnsi="Times New Roman" w:eastAsia="方正仿宋_GBK" w:cs="Times New Roman"/>
                <w:color w:val="000000"/>
                <w:kern w:val="0"/>
                <w:sz w:val="24"/>
                <w:szCs w:val="24"/>
              </w:rPr>
            </w:pPr>
          </w:p>
          <w:p w14:paraId="399B5E28">
            <w:pPr>
              <w:widowControl/>
              <w:jc w:val="left"/>
              <w:rPr>
                <w:rFonts w:ascii="Times New Roman" w:hAnsi="Times New Roman" w:eastAsia="方正仿宋_GBK" w:cs="Times New Roman"/>
                <w:color w:val="000000"/>
                <w:kern w:val="0"/>
                <w:sz w:val="24"/>
                <w:szCs w:val="24"/>
              </w:rPr>
            </w:pPr>
          </w:p>
          <w:p w14:paraId="7C9D1FD9">
            <w:pPr>
              <w:widowControl/>
              <w:jc w:val="left"/>
              <w:rPr>
                <w:rFonts w:ascii="Times New Roman" w:hAnsi="Times New Roman" w:eastAsia="方正仿宋_GBK" w:cs="Times New Roman"/>
                <w:color w:val="000000"/>
                <w:kern w:val="0"/>
                <w:sz w:val="24"/>
                <w:szCs w:val="24"/>
              </w:rPr>
            </w:pPr>
          </w:p>
          <w:p w14:paraId="62F77431">
            <w:pPr>
              <w:widowControl/>
              <w:jc w:val="left"/>
              <w:rPr>
                <w:rFonts w:ascii="Times New Roman" w:hAnsi="Times New Roman" w:eastAsia="方正仿宋_GBK" w:cs="Times New Roman"/>
                <w:color w:val="000000"/>
                <w:kern w:val="0"/>
                <w:sz w:val="24"/>
                <w:szCs w:val="24"/>
              </w:rPr>
            </w:pPr>
          </w:p>
          <w:p w14:paraId="670115FE">
            <w:pPr>
              <w:widowControl/>
              <w:jc w:val="left"/>
              <w:rPr>
                <w:rFonts w:ascii="Times New Roman" w:hAnsi="Times New Roman" w:eastAsia="方正仿宋_GBK" w:cs="Times New Roman"/>
                <w:color w:val="000000"/>
                <w:kern w:val="0"/>
                <w:sz w:val="24"/>
                <w:szCs w:val="24"/>
              </w:rPr>
            </w:pPr>
          </w:p>
          <w:p w14:paraId="0BA9DAFB">
            <w:pPr>
              <w:widowControl/>
              <w:jc w:val="left"/>
              <w:rPr>
                <w:rFonts w:ascii="Times New Roman" w:hAnsi="Times New Roman" w:eastAsia="方正仿宋_GBK" w:cs="Times New Roman"/>
                <w:color w:val="000000"/>
                <w:kern w:val="0"/>
                <w:sz w:val="24"/>
                <w:szCs w:val="24"/>
              </w:rPr>
            </w:pPr>
          </w:p>
          <w:p w14:paraId="0C015C6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B部门管理（20分）</w:t>
            </w:r>
          </w:p>
        </w:tc>
        <w:tc>
          <w:tcPr>
            <w:tcW w:w="3260" w:type="dxa"/>
            <w:vMerge w:val="restart"/>
            <w:shd w:val="clear" w:color="auto" w:fill="auto"/>
            <w:vAlign w:val="center"/>
          </w:tcPr>
          <w:p w14:paraId="2E3A569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B1预算执行（5分）</w:t>
            </w:r>
          </w:p>
        </w:tc>
        <w:tc>
          <w:tcPr>
            <w:tcW w:w="3828" w:type="dxa"/>
            <w:shd w:val="clear" w:color="auto" w:fill="auto"/>
            <w:vAlign w:val="center"/>
          </w:tcPr>
          <w:p w14:paraId="73578BB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B11部门预算执行率</w:t>
            </w:r>
          </w:p>
        </w:tc>
        <w:tc>
          <w:tcPr>
            <w:tcW w:w="850" w:type="dxa"/>
            <w:shd w:val="clear" w:color="auto" w:fill="auto"/>
            <w:vAlign w:val="center"/>
          </w:tcPr>
          <w:p w14:paraId="20C18B3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65B1E15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659025C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执行率是否达标</w:t>
            </w:r>
          </w:p>
        </w:tc>
      </w:tr>
      <w:tr w14:paraId="34378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D71C6EA">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04A8FF97">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578F155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B12专项资金执行率</w:t>
            </w:r>
          </w:p>
        </w:tc>
        <w:tc>
          <w:tcPr>
            <w:tcW w:w="850" w:type="dxa"/>
            <w:shd w:val="clear" w:color="auto" w:fill="auto"/>
            <w:vAlign w:val="center"/>
          </w:tcPr>
          <w:p w14:paraId="0E6ED33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04E5C260">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2</w:t>
            </w:r>
          </w:p>
        </w:tc>
        <w:tc>
          <w:tcPr>
            <w:tcW w:w="3260" w:type="dxa"/>
            <w:shd w:val="clear" w:color="auto" w:fill="auto"/>
            <w:vAlign w:val="center"/>
          </w:tcPr>
          <w:p w14:paraId="743A054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执行率是否达标</w:t>
            </w:r>
          </w:p>
        </w:tc>
      </w:tr>
      <w:tr w14:paraId="117F6D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32A8C4E">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31D03888">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0995CAD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B13“三公”经费控制率</w:t>
            </w:r>
          </w:p>
        </w:tc>
        <w:tc>
          <w:tcPr>
            <w:tcW w:w="850" w:type="dxa"/>
            <w:shd w:val="clear" w:color="auto" w:fill="auto"/>
            <w:vAlign w:val="center"/>
          </w:tcPr>
          <w:p w14:paraId="3ABB044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6E33C37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77BD91E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“三公经费”是否超支</w:t>
            </w:r>
          </w:p>
        </w:tc>
      </w:tr>
      <w:tr w14:paraId="3E6D1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9" w:hRule="atLeast"/>
        </w:trPr>
        <w:tc>
          <w:tcPr>
            <w:tcW w:w="2268" w:type="dxa"/>
            <w:vMerge w:val="continue"/>
            <w:vAlign w:val="center"/>
          </w:tcPr>
          <w:p w14:paraId="07BB19A1">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6DB78BC7">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710ADD8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 xml:space="preserve">B14预决算信息公开情况 </w:t>
            </w:r>
          </w:p>
        </w:tc>
        <w:tc>
          <w:tcPr>
            <w:tcW w:w="850" w:type="dxa"/>
            <w:shd w:val="clear" w:color="auto" w:fill="auto"/>
            <w:vAlign w:val="center"/>
          </w:tcPr>
          <w:p w14:paraId="2282023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347A7BD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A8F849E">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是否在“双平台”进行公开，内容和时限是否符合要求</w:t>
            </w:r>
          </w:p>
        </w:tc>
      </w:tr>
      <w:tr w14:paraId="35180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2ED93A9">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76288BE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B2收支管理（2分）</w:t>
            </w:r>
          </w:p>
        </w:tc>
        <w:tc>
          <w:tcPr>
            <w:tcW w:w="3828" w:type="dxa"/>
            <w:shd w:val="clear" w:color="auto" w:fill="auto"/>
            <w:vAlign w:val="center"/>
          </w:tcPr>
          <w:p w14:paraId="50A2FF2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B21收支管理制度健全性</w:t>
            </w:r>
          </w:p>
        </w:tc>
        <w:tc>
          <w:tcPr>
            <w:tcW w:w="850" w:type="dxa"/>
            <w:shd w:val="clear" w:color="auto" w:fill="auto"/>
            <w:vAlign w:val="center"/>
          </w:tcPr>
          <w:p w14:paraId="2E6B99D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3BBCC09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3417080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收支管理制度健全</w:t>
            </w:r>
          </w:p>
        </w:tc>
      </w:tr>
      <w:tr w14:paraId="6359FC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451DB90">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337A59C8">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1087DE4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B22收支管理是否按制度执行</w:t>
            </w:r>
          </w:p>
        </w:tc>
        <w:tc>
          <w:tcPr>
            <w:tcW w:w="850" w:type="dxa"/>
            <w:shd w:val="clear" w:color="auto" w:fill="auto"/>
            <w:vAlign w:val="center"/>
          </w:tcPr>
          <w:p w14:paraId="01FAA8B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23A3B30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1E942C2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收支管理按制度执行</w:t>
            </w:r>
          </w:p>
        </w:tc>
      </w:tr>
      <w:tr w14:paraId="633F4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AA060D1">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10AEA4D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B3资产管理（2分）</w:t>
            </w:r>
          </w:p>
        </w:tc>
        <w:tc>
          <w:tcPr>
            <w:tcW w:w="3828" w:type="dxa"/>
            <w:shd w:val="clear" w:color="auto" w:fill="auto"/>
            <w:vAlign w:val="center"/>
          </w:tcPr>
          <w:p w14:paraId="41D6E92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B31资产管理制度健全性</w:t>
            </w:r>
          </w:p>
        </w:tc>
        <w:tc>
          <w:tcPr>
            <w:tcW w:w="850" w:type="dxa"/>
            <w:shd w:val="clear" w:color="auto" w:fill="auto"/>
            <w:vAlign w:val="center"/>
          </w:tcPr>
          <w:p w14:paraId="2795309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5E192C1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4281A5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资产管理制度健全</w:t>
            </w:r>
          </w:p>
        </w:tc>
      </w:tr>
      <w:tr w14:paraId="30171D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CA8CFA0">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5E8972D5">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072B14B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B32资产管理是否按制度执行</w:t>
            </w:r>
          </w:p>
        </w:tc>
        <w:tc>
          <w:tcPr>
            <w:tcW w:w="850" w:type="dxa"/>
            <w:shd w:val="clear" w:color="auto" w:fill="auto"/>
            <w:vAlign w:val="center"/>
          </w:tcPr>
          <w:p w14:paraId="1DF8F7B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7DE991D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C6B41D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资产管理按制度执行</w:t>
            </w:r>
          </w:p>
        </w:tc>
      </w:tr>
      <w:tr w14:paraId="5A1D33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A70DE5F">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1C3B315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B4政府采购管理（2分）</w:t>
            </w:r>
          </w:p>
        </w:tc>
        <w:tc>
          <w:tcPr>
            <w:tcW w:w="3828" w:type="dxa"/>
            <w:shd w:val="clear" w:color="auto" w:fill="auto"/>
            <w:vAlign w:val="center"/>
          </w:tcPr>
          <w:p w14:paraId="6836C04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B41政府采购管理制度健全性</w:t>
            </w:r>
          </w:p>
        </w:tc>
        <w:tc>
          <w:tcPr>
            <w:tcW w:w="850" w:type="dxa"/>
            <w:shd w:val="clear" w:color="auto" w:fill="auto"/>
            <w:vAlign w:val="center"/>
          </w:tcPr>
          <w:p w14:paraId="1C9E8EC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17A008A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7404287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政府采购管理制度健全</w:t>
            </w:r>
          </w:p>
        </w:tc>
      </w:tr>
      <w:tr w14:paraId="25865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2F7E775">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17396034">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788AF20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B42政府采购管理是否按制度执行</w:t>
            </w:r>
          </w:p>
        </w:tc>
        <w:tc>
          <w:tcPr>
            <w:tcW w:w="850" w:type="dxa"/>
            <w:tcBorders>
              <w:bottom w:val="single" w:color="auto" w:sz="8" w:space="0"/>
            </w:tcBorders>
            <w:shd w:val="clear" w:color="auto" w:fill="auto"/>
            <w:vAlign w:val="center"/>
          </w:tcPr>
          <w:p w14:paraId="242AD5C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tcBorders>
              <w:bottom w:val="single" w:color="auto" w:sz="8" w:space="0"/>
            </w:tcBorders>
            <w:vAlign w:val="center"/>
          </w:tcPr>
          <w:p w14:paraId="5C4338D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tcBorders>
              <w:bottom w:val="single" w:color="auto" w:sz="8" w:space="0"/>
            </w:tcBorders>
            <w:shd w:val="clear" w:color="auto" w:fill="auto"/>
            <w:vAlign w:val="center"/>
          </w:tcPr>
          <w:p w14:paraId="132AF60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政府采购按制度执行</w:t>
            </w:r>
          </w:p>
        </w:tc>
      </w:tr>
      <w:tr w14:paraId="5CDFF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B2510B4">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54CD178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内部控制管理（6分）</w:t>
            </w:r>
          </w:p>
        </w:tc>
        <w:tc>
          <w:tcPr>
            <w:tcW w:w="3828" w:type="dxa"/>
            <w:shd w:val="clear" w:color="auto" w:fill="auto"/>
            <w:vAlign w:val="center"/>
          </w:tcPr>
          <w:p w14:paraId="0A49209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1内部控制建设情况</w:t>
            </w:r>
          </w:p>
        </w:tc>
        <w:tc>
          <w:tcPr>
            <w:tcW w:w="850" w:type="dxa"/>
            <w:shd w:val="clear" w:color="auto" w:fill="auto"/>
            <w:vAlign w:val="center"/>
          </w:tcPr>
          <w:p w14:paraId="658CDB3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6537D486">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2</w:t>
            </w:r>
          </w:p>
        </w:tc>
        <w:tc>
          <w:tcPr>
            <w:tcW w:w="3260" w:type="dxa"/>
            <w:shd w:val="clear" w:color="auto" w:fill="auto"/>
            <w:vAlign w:val="center"/>
          </w:tcPr>
          <w:p w14:paraId="7614694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是否有内部控制制度落实在手册等文本上</w:t>
            </w:r>
          </w:p>
        </w:tc>
      </w:tr>
      <w:tr w14:paraId="39797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F0675B3">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14208DC5">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47B0C01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2内部控制执行情况</w:t>
            </w:r>
          </w:p>
        </w:tc>
        <w:tc>
          <w:tcPr>
            <w:tcW w:w="850" w:type="dxa"/>
            <w:shd w:val="clear" w:color="auto" w:fill="auto"/>
            <w:vAlign w:val="center"/>
          </w:tcPr>
          <w:p w14:paraId="0B0B1F3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507DD36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3260" w:type="dxa"/>
            <w:shd w:val="clear" w:color="auto" w:fill="auto"/>
            <w:vAlign w:val="center"/>
          </w:tcPr>
          <w:p w14:paraId="0761F3B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是否按制度执行</w:t>
            </w:r>
          </w:p>
        </w:tc>
      </w:tr>
      <w:tr w14:paraId="296B2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6CDAA9D">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07673818">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0C2E831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3内部控制监督评价</w:t>
            </w:r>
          </w:p>
        </w:tc>
        <w:tc>
          <w:tcPr>
            <w:tcW w:w="850" w:type="dxa"/>
            <w:shd w:val="clear" w:color="auto" w:fill="auto"/>
            <w:vAlign w:val="center"/>
          </w:tcPr>
          <w:p w14:paraId="54576B4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43BC456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2</w:t>
            </w:r>
          </w:p>
        </w:tc>
        <w:tc>
          <w:tcPr>
            <w:tcW w:w="3260" w:type="dxa"/>
            <w:shd w:val="clear" w:color="auto" w:fill="auto"/>
            <w:vAlign w:val="center"/>
          </w:tcPr>
          <w:p w14:paraId="09FD12E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内控监督评价开展情况</w:t>
            </w:r>
          </w:p>
        </w:tc>
      </w:tr>
      <w:tr w14:paraId="78A9C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4" w:hRule="atLeast"/>
        </w:trPr>
        <w:tc>
          <w:tcPr>
            <w:tcW w:w="2268" w:type="dxa"/>
            <w:vMerge w:val="continue"/>
            <w:vAlign w:val="center"/>
          </w:tcPr>
          <w:p w14:paraId="28F16D0F">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7B97AC4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6</w:t>
            </w:r>
            <w:r>
              <w:rPr>
                <w:rFonts w:hint="eastAsia" w:ascii="Times New Roman" w:hAnsi="Times New Roman" w:eastAsia="方正仿宋_GBK" w:cs="Times New Roman"/>
                <w:color w:val="000000"/>
                <w:kern w:val="0"/>
                <w:sz w:val="24"/>
                <w:szCs w:val="24"/>
              </w:rPr>
              <w:t>预算绩效管理（3分）</w:t>
            </w:r>
          </w:p>
        </w:tc>
        <w:tc>
          <w:tcPr>
            <w:tcW w:w="3828" w:type="dxa"/>
            <w:shd w:val="clear" w:color="auto" w:fill="auto"/>
            <w:vAlign w:val="center"/>
          </w:tcPr>
          <w:p w14:paraId="613F081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6</w:t>
            </w:r>
            <w:r>
              <w:rPr>
                <w:rFonts w:hint="eastAsia" w:ascii="Times New Roman" w:hAnsi="Times New Roman" w:eastAsia="方正仿宋_GBK" w:cs="Times New Roman"/>
                <w:color w:val="000000"/>
                <w:kern w:val="0"/>
                <w:sz w:val="24"/>
                <w:szCs w:val="24"/>
              </w:rPr>
              <w:t>1组织管理情况</w:t>
            </w:r>
          </w:p>
        </w:tc>
        <w:tc>
          <w:tcPr>
            <w:tcW w:w="850" w:type="dxa"/>
            <w:shd w:val="clear" w:color="auto" w:fill="auto"/>
            <w:vAlign w:val="center"/>
          </w:tcPr>
          <w:p w14:paraId="77D2537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58B60AC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AB8AA7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考察是否有预决算制度和岗位职责分配</w:t>
            </w:r>
          </w:p>
        </w:tc>
      </w:tr>
      <w:tr w14:paraId="040B26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0E79AFD">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4BDBEE59">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1C0BD0B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6</w:t>
            </w:r>
            <w:r>
              <w:rPr>
                <w:rFonts w:hint="eastAsia" w:ascii="Times New Roman" w:hAnsi="Times New Roman" w:eastAsia="方正仿宋_GBK" w:cs="Times New Roman"/>
                <w:color w:val="000000"/>
                <w:kern w:val="0"/>
                <w:sz w:val="24"/>
                <w:szCs w:val="24"/>
              </w:rPr>
              <w:t>2工作开展情况</w:t>
            </w:r>
          </w:p>
        </w:tc>
        <w:tc>
          <w:tcPr>
            <w:tcW w:w="850" w:type="dxa"/>
            <w:shd w:val="clear" w:color="auto" w:fill="auto"/>
            <w:vAlign w:val="center"/>
          </w:tcPr>
          <w:p w14:paraId="57F171C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20FFD48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4CF97A9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通过考察预算执行进度评价</w:t>
            </w:r>
          </w:p>
        </w:tc>
      </w:tr>
      <w:tr w14:paraId="02384C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51A14D1">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599AFE11">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4F400E6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B</w:t>
            </w:r>
            <w:r>
              <w:rPr>
                <w:rFonts w:hint="eastAsia" w:ascii="Times New Roman" w:hAnsi="Times New Roman" w:eastAsia="方正仿宋_GBK" w:cs="Times New Roman"/>
                <w:color w:val="000000"/>
                <w:kern w:val="0"/>
                <w:sz w:val="24"/>
                <w:szCs w:val="24"/>
                <w:lang w:val="en-US" w:eastAsia="zh-CN"/>
              </w:rPr>
              <w:t>6</w:t>
            </w:r>
            <w:r>
              <w:rPr>
                <w:rFonts w:hint="eastAsia" w:ascii="Times New Roman" w:hAnsi="Times New Roman" w:eastAsia="方正仿宋_GBK" w:cs="Times New Roman"/>
                <w:color w:val="000000"/>
                <w:kern w:val="0"/>
                <w:sz w:val="24"/>
                <w:szCs w:val="24"/>
              </w:rPr>
              <w:t>3绩效信息公开</w:t>
            </w:r>
          </w:p>
        </w:tc>
        <w:tc>
          <w:tcPr>
            <w:tcW w:w="850" w:type="dxa"/>
            <w:shd w:val="clear" w:color="auto" w:fill="auto"/>
            <w:vAlign w:val="center"/>
          </w:tcPr>
          <w:p w14:paraId="3E66CC7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5320307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vAlign w:val="center"/>
          </w:tcPr>
          <w:p w14:paraId="5B11A25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是否在“双平台”进行公开，内容和时限是否符合要求</w:t>
            </w:r>
          </w:p>
        </w:tc>
      </w:tr>
      <w:tr w14:paraId="117DA7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15" w:hRule="atLeast"/>
        </w:trPr>
        <w:tc>
          <w:tcPr>
            <w:tcW w:w="2268" w:type="dxa"/>
            <w:vMerge w:val="restart"/>
            <w:shd w:val="clear" w:color="auto" w:fill="auto"/>
            <w:vAlign w:val="center"/>
          </w:tcPr>
          <w:p w14:paraId="2069E10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C部门履职(部门职能履职情况)（30分）</w:t>
            </w:r>
          </w:p>
        </w:tc>
        <w:tc>
          <w:tcPr>
            <w:tcW w:w="3260" w:type="dxa"/>
            <w:vMerge w:val="restart"/>
            <w:shd w:val="clear" w:color="auto" w:fill="auto"/>
            <w:vAlign w:val="center"/>
          </w:tcPr>
          <w:p w14:paraId="49996F1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C1</w:t>
            </w:r>
            <w:r>
              <w:rPr>
                <w:rFonts w:hint="eastAsia" w:ascii="Times New Roman" w:hAnsi="Times New Roman" w:eastAsia="方正仿宋_GBK" w:cs="Times New Roman"/>
                <w:color w:val="000000"/>
                <w:kern w:val="0"/>
                <w:sz w:val="24"/>
                <w:szCs w:val="24"/>
                <w:lang w:eastAsia="zh-CN"/>
              </w:rPr>
              <w:t>承担全市建设工程造价咨询市场的监督管理和相关定额计价管理工作</w:t>
            </w:r>
            <w:r>
              <w:rPr>
                <w:rFonts w:hint="eastAsia" w:ascii="Times New Roman" w:hAnsi="Times New Roman" w:eastAsia="方正仿宋_GBK" w:cs="Times New Roman"/>
                <w:color w:val="000000"/>
                <w:kern w:val="0"/>
                <w:sz w:val="24"/>
                <w:szCs w:val="24"/>
              </w:rPr>
              <w:t>（</w:t>
            </w:r>
            <w:r>
              <w:rPr>
                <w:rFonts w:hint="eastAsia" w:ascii="Times New Roman" w:hAnsi="Times New Roman" w:eastAsia="方正仿宋_GBK" w:cs="Times New Roman"/>
                <w:color w:val="000000"/>
                <w:kern w:val="0"/>
                <w:sz w:val="24"/>
                <w:szCs w:val="24"/>
                <w:lang w:val="en-US" w:eastAsia="zh-CN"/>
              </w:rPr>
              <w:t>10</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382BB6A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C11年度任务计划是否完成</w:t>
            </w:r>
          </w:p>
        </w:tc>
        <w:tc>
          <w:tcPr>
            <w:tcW w:w="850" w:type="dxa"/>
            <w:shd w:val="clear" w:color="auto" w:fill="auto"/>
            <w:vAlign w:val="center"/>
          </w:tcPr>
          <w:p w14:paraId="3CACC113">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851" w:type="dxa"/>
            <w:vAlign w:val="center"/>
          </w:tcPr>
          <w:p w14:paraId="4438D8DC">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3260" w:type="dxa"/>
            <w:shd w:val="clear" w:color="auto" w:fill="auto"/>
            <w:vAlign w:val="center"/>
          </w:tcPr>
          <w:p w14:paraId="5CCCC782">
            <w:pPr>
              <w:widowControl/>
              <w:jc w:val="left"/>
              <w:rPr>
                <w:rFonts w:hint="default"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eastAsia="zh-CN"/>
              </w:rPr>
              <w:t>开展企业资信抽查工作、“双随机一公开”综合检查工作、造价咨询企业和从业人员日常及信用管理工作、专家库日常管理工作</w:t>
            </w:r>
          </w:p>
        </w:tc>
      </w:tr>
      <w:tr w14:paraId="33E7CE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34" w:hRule="atLeast"/>
        </w:trPr>
        <w:tc>
          <w:tcPr>
            <w:tcW w:w="2268" w:type="dxa"/>
            <w:vMerge w:val="continue"/>
            <w:vAlign w:val="center"/>
          </w:tcPr>
          <w:p w14:paraId="4B0B4AEB">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4A631AA3">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164744D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C12年度任务计划完成质量</w:t>
            </w:r>
          </w:p>
        </w:tc>
        <w:tc>
          <w:tcPr>
            <w:tcW w:w="850" w:type="dxa"/>
            <w:shd w:val="clear" w:color="auto" w:fill="auto"/>
            <w:vAlign w:val="center"/>
          </w:tcPr>
          <w:p w14:paraId="2A7C1714">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5A46076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74281C31">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市建委确定的目标任务完成质量</w:t>
            </w:r>
          </w:p>
        </w:tc>
      </w:tr>
      <w:tr w14:paraId="36048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460D2C7">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25687EB7">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6063190C">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C13年度任务计划完成时效</w:t>
            </w:r>
          </w:p>
        </w:tc>
        <w:tc>
          <w:tcPr>
            <w:tcW w:w="850" w:type="dxa"/>
            <w:shd w:val="clear" w:color="auto" w:fill="auto"/>
            <w:vAlign w:val="center"/>
          </w:tcPr>
          <w:p w14:paraId="7B46643E">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3C5B1E9F">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06946FF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是否按时完成</w:t>
            </w:r>
          </w:p>
        </w:tc>
      </w:tr>
      <w:tr w14:paraId="21DE1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trPr>
        <w:tc>
          <w:tcPr>
            <w:tcW w:w="2268" w:type="dxa"/>
            <w:vMerge w:val="continue"/>
            <w:vAlign w:val="center"/>
          </w:tcPr>
          <w:p w14:paraId="374E0611">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3372473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C2</w:t>
            </w:r>
            <w:r>
              <w:rPr>
                <w:rFonts w:hint="eastAsia" w:ascii="Times New Roman" w:hAnsi="Times New Roman" w:eastAsia="方正仿宋_GBK" w:cs="Times New Roman"/>
                <w:color w:val="000000"/>
                <w:kern w:val="0"/>
                <w:sz w:val="24"/>
                <w:szCs w:val="24"/>
                <w:lang w:eastAsia="zh-CN"/>
              </w:rPr>
              <w:t>组织开展全市工程造价信息发布工作</w:t>
            </w:r>
            <w:r>
              <w:rPr>
                <w:rFonts w:hint="eastAsia" w:ascii="Times New Roman" w:hAnsi="Times New Roman" w:eastAsia="方正仿宋_GBK" w:cs="Times New Roman"/>
                <w:color w:val="000000"/>
                <w:kern w:val="0"/>
                <w:sz w:val="24"/>
                <w:szCs w:val="24"/>
              </w:rPr>
              <w:t>（</w:t>
            </w:r>
            <w:r>
              <w:rPr>
                <w:rFonts w:hint="eastAsia" w:ascii="Times New Roman" w:hAnsi="Times New Roman" w:eastAsia="方正仿宋_GBK" w:cs="Times New Roman"/>
                <w:color w:val="000000"/>
                <w:kern w:val="0"/>
                <w:sz w:val="24"/>
                <w:szCs w:val="24"/>
                <w:lang w:val="en-US" w:eastAsia="zh-CN"/>
              </w:rPr>
              <w:t>10</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1347C31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C21年度任务计划是否完成</w:t>
            </w:r>
          </w:p>
        </w:tc>
        <w:tc>
          <w:tcPr>
            <w:tcW w:w="850" w:type="dxa"/>
            <w:shd w:val="clear" w:color="auto" w:fill="auto"/>
            <w:vAlign w:val="center"/>
          </w:tcPr>
          <w:p w14:paraId="5A66D13B">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851" w:type="dxa"/>
            <w:vAlign w:val="center"/>
          </w:tcPr>
          <w:p w14:paraId="1821C73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lang w:val="en-US" w:eastAsia="zh-CN"/>
              </w:rPr>
              <w:t>4</w:t>
            </w:r>
          </w:p>
        </w:tc>
        <w:tc>
          <w:tcPr>
            <w:tcW w:w="3260" w:type="dxa"/>
            <w:shd w:val="clear" w:color="auto" w:fill="auto"/>
            <w:vAlign w:val="center"/>
          </w:tcPr>
          <w:p w14:paraId="2A0A55B5">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是否完成材料价格信息发布工作、信息员日常管理</w:t>
            </w:r>
          </w:p>
        </w:tc>
      </w:tr>
      <w:tr w14:paraId="0984FB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A78731A">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5B70CAC0">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5490D08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C22年度任务计划完成质量</w:t>
            </w:r>
          </w:p>
        </w:tc>
        <w:tc>
          <w:tcPr>
            <w:tcW w:w="850" w:type="dxa"/>
            <w:shd w:val="clear" w:color="auto" w:fill="auto"/>
            <w:vAlign w:val="center"/>
          </w:tcPr>
          <w:p w14:paraId="5FAAF876">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1DDE83D8">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151C949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lang w:eastAsia="zh-CN"/>
              </w:rPr>
              <w:t>市建委确定的目标任务完成质量</w:t>
            </w:r>
          </w:p>
        </w:tc>
      </w:tr>
      <w:tr w14:paraId="43CF8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EA3F59B">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0C798AE1">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658966E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C23年度任务计划完成时效</w:t>
            </w:r>
          </w:p>
        </w:tc>
        <w:tc>
          <w:tcPr>
            <w:tcW w:w="850" w:type="dxa"/>
            <w:shd w:val="clear" w:color="auto" w:fill="auto"/>
            <w:vAlign w:val="center"/>
          </w:tcPr>
          <w:p w14:paraId="4D1919A4">
            <w:pPr>
              <w:widowControl/>
              <w:jc w:val="left"/>
              <w:rPr>
                <w:rFonts w:hint="eastAsia"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1D7370C7">
            <w:pPr>
              <w:widowControl/>
              <w:jc w:val="left"/>
              <w:rPr>
                <w:rFonts w:hint="eastAsia"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6A72CB8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是否按时完成</w:t>
            </w:r>
          </w:p>
        </w:tc>
      </w:tr>
      <w:tr w14:paraId="7DED8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37" w:hRule="atLeast"/>
        </w:trPr>
        <w:tc>
          <w:tcPr>
            <w:tcW w:w="2268" w:type="dxa"/>
            <w:vMerge w:val="continue"/>
            <w:vAlign w:val="center"/>
          </w:tcPr>
          <w:p w14:paraId="25D77DBC">
            <w:pPr>
              <w:widowControl/>
              <w:jc w:val="left"/>
              <w:rPr>
                <w:rFonts w:ascii="Times New Roman" w:hAnsi="Times New Roman" w:eastAsia="方正仿宋_GBK" w:cs="Times New Roman"/>
                <w:color w:val="000000"/>
                <w:kern w:val="0"/>
                <w:sz w:val="24"/>
                <w:szCs w:val="24"/>
              </w:rPr>
            </w:pPr>
          </w:p>
        </w:tc>
        <w:tc>
          <w:tcPr>
            <w:tcW w:w="3260" w:type="dxa"/>
            <w:vMerge w:val="restart"/>
            <w:shd w:val="clear" w:color="auto" w:fill="auto"/>
            <w:vAlign w:val="center"/>
          </w:tcPr>
          <w:p w14:paraId="1F8292F6">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C3</w:t>
            </w:r>
            <w:r>
              <w:rPr>
                <w:rFonts w:hint="eastAsia" w:ascii="Times New Roman" w:hAnsi="Times New Roman" w:eastAsia="方正仿宋_GBK" w:cs="Times New Roman"/>
                <w:color w:val="000000"/>
                <w:kern w:val="0"/>
                <w:sz w:val="24"/>
                <w:szCs w:val="24"/>
                <w:lang w:eastAsia="zh-CN"/>
              </w:rPr>
              <w:t>承担全市建设工程造价活动管理和监督工作</w:t>
            </w:r>
            <w:r>
              <w:rPr>
                <w:rFonts w:hint="eastAsia" w:ascii="Times New Roman" w:hAnsi="Times New Roman" w:eastAsia="方正仿宋_GBK" w:cs="Times New Roman"/>
                <w:color w:val="000000"/>
                <w:kern w:val="0"/>
                <w:sz w:val="24"/>
                <w:szCs w:val="24"/>
              </w:rPr>
              <w:t>（</w:t>
            </w:r>
            <w:r>
              <w:rPr>
                <w:rFonts w:hint="eastAsia" w:ascii="Times New Roman" w:hAnsi="Times New Roman" w:eastAsia="方正仿宋_GBK" w:cs="Times New Roman"/>
                <w:color w:val="000000"/>
                <w:kern w:val="0"/>
                <w:sz w:val="24"/>
                <w:szCs w:val="24"/>
                <w:lang w:val="en-US" w:eastAsia="zh-CN"/>
              </w:rPr>
              <w:t>10</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322D530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C31年度任务是否完成</w:t>
            </w:r>
          </w:p>
        </w:tc>
        <w:tc>
          <w:tcPr>
            <w:tcW w:w="850" w:type="dxa"/>
            <w:shd w:val="clear" w:color="auto" w:fill="auto"/>
            <w:vAlign w:val="center"/>
          </w:tcPr>
          <w:p w14:paraId="18DD227A">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851" w:type="dxa"/>
            <w:vAlign w:val="center"/>
          </w:tcPr>
          <w:p w14:paraId="1500CC94">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3260" w:type="dxa"/>
            <w:shd w:val="clear" w:color="auto" w:fill="auto"/>
            <w:vAlign w:val="center"/>
          </w:tcPr>
          <w:p w14:paraId="4217B79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auto"/>
                <w:kern w:val="0"/>
                <w:sz w:val="24"/>
                <w:szCs w:val="24"/>
                <w:lang w:eastAsia="zh-CN"/>
              </w:rPr>
              <w:t>办理安全文明施工措施费测定、</w:t>
            </w:r>
            <w:r>
              <w:rPr>
                <w:rFonts w:hint="eastAsia" w:ascii="Times New Roman" w:hAnsi="Times New Roman" w:eastAsia="方正仿宋_GBK" w:cs="Times New Roman"/>
                <w:color w:val="000000"/>
                <w:kern w:val="0"/>
                <w:sz w:val="24"/>
                <w:szCs w:val="24"/>
                <w:lang w:eastAsia="zh-CN"/>
              </w:rPr>
              <w:t>开展造价咨询成果文件监督检查工作、及时完成计价解释与争议调解工作</w:t>
            </w:r>
          </w:p>
        </w:tc>
      </w:tr>
      <w:tr w14:paraId="2B531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8407D8D">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31D9E4A7">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46C9154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C32年度任务完成质量</w:t>
            </w:r>
          </w:p>
        </w:tc>
        <w:tc>
          <w:tcPr>
            <w:tcW w:w="850" w:type="dxa"/>
            <w:shd w:val="clear" w:color="auto" w:fill="auto"/>
            <w:vAlign w:val="center"/>
          </w:tcPr>
          <w:p w14:paraId="2F0BBEB5">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4A2C3A6C">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11F9679A">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lang w:eastAsia="zh-CN"/>
              </w:rPr>
              <w:t>市建委确定的目标任务完成质量</w:t>
            </w:r>
          </w:p>
        </w:tc>
      </w:tr>
      <w:tr w14:paraId="77DA2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56E5AFD">
            <w:pPr>
              <w:widowControl/>
              <w:jc w:val="left"/>
              <w:rPr>
                <w:rFonts w:ascii="Times New Roman" w:hAnsi="Times New Roman" w:eastAsia="方正仿宋_GBK" w:cs="Times New Roman"/>
                <w:color w:val="000000"/>
                <w:kern w:val="0"/>
                <w:sz w:val="24"/>
                <w:szCs w:val="24"/>
              </w:rPr>
            </w:pPr>
          </w:p>
        </w:tc>
        <w:tc>
          <w:tcPr>
            <w:tcW w:w="3260" w:type="dxa"/>
            <w:vMerge w:val="continue"/>
            <w:vAlign w:val="center"/>
          </w:tcPr>
          <w:p w14:paraId="21EE6424">
            <w:pPr>
              <w:widowControl/>
              <w:jc w:val="left"/>
              <w:rPr>
                <w:rFonts w:ascii="Times New Roman" w:hAnsi="Times New Roman" w:eastAsia="方正仿宋_GBK" w:cs="Times New Roman"/>
                <w:color w:val="000000"/>
                <w:kern w:val="0"/>
                <w:sz w:val="24"/>
                <w:szCs w:val="24"/>
              </w:rPr>
            </w:pPr>
          </w:p>
        </w:tc>
        <w:tc>
          <w:tcPr>
            <w:tcW w:w="3828" w:type="dxa"/>
            <w:shd w:val="clear" w:color="auto" w:fill="auto"/>
            <w:vAlign w:val="center"/>
          </w:tcPr>
          <w:p w14:paraId="2F911F7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C33年度任务完成时效</w:t>
            </w:r>
          </w:p>
        </w:tc>
        <w:tc>
          <w:tcPr>
            <w:tcW w:w="850" w:type="dxa"/>
            <w:shd w:val="clear" w:color="auto" w:fill="auto"/>
            <w:vAlign w:val="center"/>
          </w:tcPr>
          <w:p w14:paraId="0A5C3ABA">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851" w:type="dxa"/>
            <w:vAlign w:val="center"/>
          </w:tcPr>
          <w:p w14:paraId="4E3ABDBE">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3</w:t>
            </w:r>
          </w:p>
        </w:tc>
        <w:tc>
          <w:tcPr>
            <w:tcW w:w="3260" w:type="dxa"/>
            <w:shd w:val="clear" w:color="auto" w:fill="auto"/>
            <w:vAlign w:val="center"/>
          </w:tcPr>
          <w:p w14:paraId="3DF44A0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是否按时完成</w:t>
            </w:r>
          </w:p>
        </w:tc>
      </w:tr>
      <w:tr w14:paraId="66184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10" w:hRule="atLeast"/>
        </w:trPr>
        <w:tc>
          <w:tcPr>
            <w:tcW w:w="2268" w:type="dxa"/>
            <w:vMerge w:val="restart"/>
            <w:shd w:val="clear" w:color="auto" w:fill="auto"/>
            <w:noWrap/>
            <w:vAlign w:val="center"/>
          </w:tcPr>
          <w:p w14:paraId="04BE991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D履职绩效（</w:t>
            </w:r>
            <w:r>
              <w:rPr>
                <w:rFonts w:hint="eastAsia" w:ascii="Times New Roman" w:hAnsi="Times New Roman" w:eastAsia="方正仿宋_GBK" w:cs="Times New Roman"/>
                <w:color w:val="000000"/>
                <w:kern w:val="0"/>
                <w:sz w:val="24"/>
                <w:szCs w:val="24"/>
                <w:lang w:val="en-US" w:eastAsia="zh-CN"/>
              </w:rPr>
              <w:t>30</w:t>
            </w:r>
            <w:r>
              <w:rPr>
                <w:rFonts w:hint="eastAsia" w:ascii="Times New Roman" w:hAnsi="Times New Roman" w:eastAsia="方正仿宋_GBK" w:cs="Times New Roman"/>
                <w:color w:val="000000"/>
                <w:kern w:val="0"/>
                <w:sz w:val="24"/>
                <w:szCs w:val="24"/>
              </w:rPr>
              <w:t>分）</w:t>
            </w:r>
          </w:p>
        </w:tc>
        <w:tc>
          <w:tcPr>
            <w:tcW w:w="3260" w:type="dxa"/>
            <w:shd w:val="clear" w:color="auto" w:fill="auto"/>
            <w:vAlign w:val="center"/>
          </w:tcPr>
          <w:p w14:paraId="5298FED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D1经济效益（</w:t>
            </w:r>
            <w:r>
              <w:rPr>
                <w:rFonts w:hint="eastAsia" w:ascii="Times New Roman" w:hAnsi="Times New Roman" w:eastAsia="方正仿宋_GBK" w:cs="Times New Roman"/>
                <w:color w:val="000000"/>
                <w:kern w:val="0"/>
                <w:sz w:val="24"/>
                <w:szCs w:val="24"/>
                <w:lang w:val="en-US" w:eastAsia="zh-CN"/>
              </w:rPr>
              <w:t>10</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26D7C981">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rPr>
              <w:t>为重点工程提供</w:t>
            </w:r>
            <w:r>
              <w:rPr>
                <w:rFonts w:hint="eastAsia" w:ascii="Times New Roman" w:hAnsi="Times New Roman" w:eastAsia="方正仿宋_GBK" w:cs="Times New Roman"/>
                <w:color w:val="000000"/>
                <w:kern w:val="0"/>
                <w:sz w:val="24"/>
                <w:szCs w:val="24"/>
                <w:lang w:eastAsia="zh-CN"/>
              </w:rPr>
              <w:t>计价咨询</w:t>
            </w:r>
          </w:p>
        </w:tc>
        <w:tc>
          <w:tcPr>
            <w:tcW w:w="850" w:type="dxa"/>
            <w:shd w:val="clear" w:color="auto" w:fill="auto"/>
            <w:vAlign w:val="center"/>
          </w:tcPr>
          <w:p w14:paraId="42E13321">
            <w:pPr>
              <w:widowControl/>
              <w:jc w:val="left"/>
              <w:rPr>
                <w:rFonts w:hint="default"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10</w:t>
            </w:r>
          </w:p>
        </w:tc>
        <w:tc>
          <w:tcPr>
            <w:tcW w:w="851" w:type="dxa"/>
            <w:vAlign w:val="center"/>
          </w:tcPr>
          <w:p w14:paraId="75701FDC">
            <w:pPr>
              <w:widowControl/>
              <w:jc w:val="left"/>
              <w:rPr>
                <w:rFonts w:hint="default"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10</w:t>
            </w:r>
          </w:p>
        </w:tc>
        <w:tc>
          <w:tcPr>
            <w:tcW w:w="3260" w:type="dxa"/>
            <w:shd w:val="clear" w:color="auto" w:fill="auto"/>
            <w:vAlign w:val="center"/>
          </w:tcPr>
          <w:p w14:paraId="34F984DA">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是否</w:t>
            </w:r>
            <w:r>
              <w:rPr>
                <w:rFonts w:hint="eastAsia" w:ascii="Times New Roman" w:hAnsi="Times New Roman" w:eastAsia="方正仿宋_GBK" w:cs="Times New Roman"/>
                <w:color w:val="000000"/>
                <w:kern w:val="0"/>
                <w:sz w:val="24"/>
                <w:szCs w:val="24"/>
              </w:rPr>
              <w:t>为重点工程提供</w:t>
            </w:r>
            <w:r>
              <w:rPr>
                <w:rFonts w:hint="eastAsia" w:ascii="Times New Roman" w:hAnsi="Times New Roman" w:eastAsia="方正仿宋_GBK" w:cs="Times New Roman"/>
                <w:color w:val="000000"/>
                <w:kern w:val="0"/>
                <w:sz w:val="24"/>
                <w:szCs w:val="24"/>
                <w:lang w:eastAsia="zh-CN"/>
              </w:rPr>
              <w:t>计价咨询</w:t>
            </w:r>
          </w:p>
        </w:tc>
      </w:tr>
      <w:tr w14:paraId="238F2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979A25E">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330F1BE7">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D2社会效益（</w:t>
            </w:r>
            <w:r>
              <w:rPr>
                <w:rFonts w:hint="eastAsia" w:ascii="Times New Roman" w:hAnsi="Times New Roman" w:eastAsia="方正仿宋_GBK" w:cs="Times New Roman"/>
                <w:color w:val="000000"/>
                <w:kern w:val="0"/>
                <w:sz w:val="24"/>
                <w:szCs w:val="24"/>
                <w:lang w:val="en-US" w:eastAsia="zh-CN"/>
              </w:rPr>
              <w:t>10</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6E40BC2E">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提供及时、准确的造价信息服务；</w:t>
            </w:r>
            <w:r>
              <w:rPr>
                <w:rFonts w:hint="eastAsia" w:ascii="Times New Roman" w:hAnsi="Times New Roman" w:eastAsia="方正仿宋_GBK" w:cs="Times New Roman"/>
                <w:color w:val="000000"/>
                <w:kern w:val="0"/>
                <w:sz w:val="24"/>
                <w:szCs w:val="24"/>
              </w:rPr>
              <w:t>创新方法，</w:t>
            </w:r>
            <w:r>
              <w:rPr>
                <w:rFonts w:hint="eastAsia" w:ascii="Times New Roman" w:hAnsi="Times New Roman" w:eastAsia="方正仿宋_GBK" w:cs="Times New Roman"/>
                <w:color w:val="000000"/>
                <w:kern w:val="0"/>
                <w:sz w:val="24"/>
                <w:szCs w:val="24"/>
                <w:lang w:val="en-US" w:eastAsia="zh-CN"/>
              </w:rPr>
              <w:t>优化造价咨询市场营商环境</w:t>
            </w:r>
          </w:p>
        </w:tc>
        <w:tc>
          <w:tcPr>
            <w:tcW w:w="850" w:type="dxa"/>
            <w:shd w:val="clear" w:color="auto" w:fill="auto"/>
            <w:vAlign w:val="center"/>
          </w:tcPr>
          <w:p w14:paraId="06CBE004">
            <w:pPr>
              <w:widowControl/>
              <w:jc w:val="left"/>
              <w:rPr>
                <w:rFonts w:hint="default"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10</w:t>
            </w:r>
          </w:p>
        </w:tc>
        <w:tc>
          <w:tcPr>
            <w:tcW w:w="851" w:type="dxa"/>
            <w:vAlign w:val="center"/>
          </w:tcPr>
          <w:p w14:paraId="0BE0ECC1">
            <w:pPr>
              <w:widowControl/>
              <w:jc w:val="left"/>
              <w:rPr>
                <w:rFonts w:hint="default"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10</w:t>
            </w:r>
          </w:p>
        </w:tc>
        <w:tc>
          <w:tcPr>
            <w:tcW w:w="3260" w:type="dxa"/>
            <w:shd w:val="clear" w:color="auto" w:fill="auto"/>
            <w:vAlign w:val="center"/>
          </w:tcPr>
          <w:p w14:paraId="5DB723C7">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是否提供及时、准确的造价信息服务；聚</w:t>
            </w:r>
            <w:r>
              <w:rPr>
                <w:rFonts w:hint="eastAsia" w:ascii="Times New Roman" w:hAnsi="Times New Roman" w:eastAsia="方正仿宋_GBK" w:cs="Times New Roman"/>
                <w:color w:val="000000"/>
                <w:kern w:val="0"/>
                <w:sz w:val="24"/>
                <w:szCs w:val="24"/>
                <w:lang w:val="en-US" w:eastAsia="zh-CN"/>
              </w:rPr>
              <w:t>焦企业的“急难愁盼”问题，立足小切口开展造价咨询企业精准服务，优化造价咨询市场营商环境。</w:t>
            </w:r>
          </w:p>
        </w:tc>
      </w:tr>
      <w:tr w14:paraId="2D7BB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6CDE0CC">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7DBBD4E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D3生态效益（</w:t>
            </w:r>
            <w:r>
              <w:rPr>
                <w:rFonts w:hint="eastAsia" w:ascii="Times New Roman" w:hAnsi="Times New Roman" w:eastAsia="方正仿宋_GBK" w:cs="Times New Roman"/>
                <w:color w:val="000000"/>
                <w:kern w:val="0"/>
                <w:sz w:val="24"/>
                <w:szCs w:val="24"/>
                <w:lang w:val="en-US" w:eastAsia="zh-CN"/>
              </w:rPr>
              <w:t>5</w:t>
            </w:r>
            <w:r>
              <w:rPr>
                <w:rFonts w:hint="eastAsia" w:ascii="Times New Roman" w:hAnsi="Times New Roman" w:eastAsia="方正仿宋_GBK" w:cs="Times New Roman"/>
                <w:color w:val="000000"/>
                <w:kern w:val="0"/>
                <w:sz w:val="24"/>
                <w:szCs w:val="24"/>
              </w:rPr>
              <w:t>分）</w:t>
            </w:r>
          </w:p>
        </w:tc>
        <w:tc>
          <w:tcPr>
            <w:tcW w:w="3828" w:type="dxa"/>
            <w:shd w:val="clear" w:color="auto" w:fill="auto"/>
            <w:vAlign w:val="center"/>
          </w:tcPr>
          <w:p w14:paraId="68CEF967">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推广绿色建材使用</w:t>
            </w:r>
          </w:p>
        </w:tc>
        <w:tc>
          <w:tcPr>
            <w:tcW w:w="850" w:type="dxa"/>
            <w:shd w:val="clear" w:color="auto" w:fill="auto"/>
            <w:vAlign w:val="center"/>
          </w:tcPr>
          <w:p w14:paraId="6E31CE56">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5</w:t>
            </w:r>
          </w:p>
        </w:tc>
        <w:tc>
          <w:tcPr>
            <w:tcW w:w="851" w:type="dxa"/>
            <w:vAlign w:val="center"/>
          </w:tcPr>
          <w:p w14:paraId="7EEF9AF8">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4</w:t>
            </w:r>
          </w:p>
        </w:tc>
        <w:tc>
          <w:tcPr>
            <w:tcW w:w="3260" w:type="dxa"/>
            <w:shd w:val="clear" w:color="auto" w:fill="auto"/>
            <w:vAlign w:val="center"/>
          </w:tcPr>
          <w:p w14:paraId="12246D16">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是否建立绿色建材厂商价发布制度。</w:t>
            </w:r>
          </w:p>
        </w:tc>
      </w:tr>
      <w:tr w14:paraId="347AE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A8F3D46">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177290ED">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D4满意度（5分）</w:t>
            </w:r>
          </w:p>
        </w:tc>
        <w:tc>
          <w:tcPr>
            <w:tcW w:w="3828" w:type="dxa"/>
            <w:shd w:val="clear" w:color="auto" w:fill="auto"/>
            <w:vAlign w:val="center"/>
          </w:tcPr>
          <w:p w14:paraId="5E32B46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人民群众的满意度是否提升</w:t>
            </w:r>
          </w:p>
        </w:tc>
        <w:tc>
          <w:tcPr>
            <w:tcW w:w="850" w:type="dxa"/>
            <w:shd w:val="clear" w:color="auto" w:fill="auto"/>
            <w:vAlign w:val="center"/>
          </w:tcPr>
          <w:p w14:paraId="132BACE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5</w:t>
            </w:r>
          </w:p>
        </w:tc>
        <w:tc>
          <w:tcPr>
            <w:tcW w:w="851" w:type="dxa"/>
            <w:vAlign w:val="center"/>
          </w:tcPr>
          <w:p w14:paraId="7367B337">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val="en-US" w:eastAsia="zh-CN"/>
              </w:rPr>
              <w:t>5</w:t>
            </w:r>
          </w:p>
        </w:tc>
        <w:tc>
          <w:tcPr>
            <w:tcW w:w="3260" w:type="dxa"/>
            <w:shd w:val="clear" w:color="auto" w:fill="auto"/>
            <w:vAlign w:val="center"/>
          </w:tcPr>
          <w:p w14:paraId="5A1C14E7">
            <w:pPr>
              <w:widowControl/>
              <w:jc w:val="left"/>
              <w:rPr>
                <w:rFonts w:hint="eastAsia"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rPr>
              <w:t>“e释e调”服务平台</w:t>
            </w:r>
            <w:r>
              <w:rPr>
                <w:rFonts w:hint="eastAsia" w:ascii="Times New Roman" w:hAnsi="Times New Roman" w:eastAsia="方正仿宋_GBK" w:cs="Times New Roman"/>
                <w:color w:val="000000"/>
                <w:kern w:val="0"/>
                <w:sz w:val="24"/>
                <w:szCs w:val="24"/>
                <w:lang w:eastAsia="zh-CN"/>
              </w:rPr>
              <w:t>回访满意度。</w:t>
            </w:r>
            <w:bookmarkStart w:id="0" w:name="_GoBack"/>
            <w:bookmarkEnd w:id="0"/>
          </w:p>
        </w:tc>
      </w:tr>
      <w:tr w14:paraId="23BEC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noWrap/>
            <w:vAlign w:val="center"/>
          </w:tcPr>
          <w:p w14:paraId="31FC8D3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E可持续发展能力（5分）</w:t>
            </w:r>
          </w:p>
        </w:tc>
        <w:tc>
          <w:tcPr>
            <w:tcW w:w="3260" w:type="dxa"/>
            <w:shd w:val="clear" w:color="auto" w:fill="auto"/>
            <w:vAlign w:val="center"/>
          </w:tcPr>
          <w:p w14:paraId="54B8111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E1信息化建设情况（2分）</w:t>
            </w:r>
          </w:p>
        </w:tc>
        <w:tc>
          <w:tcPr>
            <w:tcW w:w="3828" w:type="dxa"/>
            <w:shd w:val="clear" w:color="auto" w:fill="auto"/>
            <w:vAlign w:val="center"/>
          </w:tcPr>
          <w:p w14:paraId="21DFE0B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办公流程、业务开展通过单位的信息系统实现</w:t>
            </w:r>
          </w:p>
        </w:tc>
        <w:tc>
          <w:tcPr>
            <w:tcW w:w="850" w:type="dxa"/>
            <w:shd w:val="clear" w:color="auto" w:fill="auto"/>
            <w:vAlign w:val="center"/>
          </w:tcPr>
          <w:p w14:paraId="5B5F49D5">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6FCD69C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3260" w:type="dxa"/>
            <w:shd w:val="clear" w:color="auto" w:fill="auto"/>
            <w:vAlign w:val="center"/>
          </w:tcPr>
          <w:p w14:paraId="63D1D359">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rPr>
              <w:t>是否通过单位的信息系统实现</w:t>
            </w:r>
            <w:r>
              <w:rPr>
                <w:rFonts w:hint="eastAsia" w:ascii="Times New Roman" w:hAnsi="Times New Roman" w:eastAsia="方正仿宋_GBK" w:cs="Times New Roman"/>
                <w:color w:val="000000"/>
                <w:kern w:val="0"/>
                <w:sz w:val="24"/>
                <w:szCs w:val="24"/>
                <w:lang w:eastAsia="zh-CN"/>
              </w:rPr>
              <w:t>。</w:t>
            </w:r>
          </w:p>
        </w:tc>
      </w:tr>
      <w:tr w14:paraId="627C69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49D404F">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061EBA5E">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E2人力资源建设情况（2分）</w:t>
            </w:r>
          </w:p>
        </w:tc>
        <w:tc>
          <w:tcPr>
            <w:tcW w:w="3828" w:type="dxa"/>
            <w:shd w:val="clear" w:color="auto" w:fill="auto"/>
            <w:noWrap/>
            <w:vAlign w:val="center"/>
          </w:tcPr>
          <w:p w14:paraId="06220CE3">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单位人才培养计划、人才选拔运用、激励措施等</w:t>
            </w:r>
          </w:p>
        </w:tc>
        <w:tc>
          <w:tcPr>
            <w:tcW w:w="850" w:type="dxa"/>
            <w:shd w:val="clear" w:color="auto" w:fill="auto"/>
            <w:vAlign w:val="center"/>
          </w:tcPr>
          <w:p w14:paraId="70BF523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851" w:type="dxa"/>
            <w:vAlign w:val="center"/>
          </w:tcPr>
          <w:p w14:paraId="39B6F55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2</w:t>
            </w:r>
          </w:p>
        </w:tc>
        <w:tc>
          <w:tcPr>
            <w:tcW w:w="3260" w:type="dxa"/>
            <w:shd w:val="clear" w:color="auto" w:fill="auto"/>
            <w:noWrap/>
            <w:vAlign w:val="center"/>
          </w:tcPr>
          <w:p w14:paraId="2E4BD778">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rPr>
              <w:t>人员调整、培训等计划措施齐全</w:t>
            </w:r>
            <w:r>
              <w:rPr>
                <w:rFonts w:hint="eastAsia" w:ascii="Times New Roman" w:hAnsi="Times New Roman" w:eastAsia="方正仿宋_GBK" w:cs="Times New Roman"/>
                <w:color w:val="000000"/>
                <w:kern w:val="0"/>
                <w:sz w:val="24"/>
                <w:szCs w:val="24"/>
                <w:lang w:eastAsia="zh-CN"/>
              </w:rPr>
              <w:t>。</w:t>
            </w:r>
          </w:p>
        </w:tc>
      </w:tr>
      <w:tr w14:paraId="7520E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B05CC80">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50B9EC21">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E3部门创新情况（1分）</w:t>
            </w:r>
          </w:p>
        </w:tc>
        <w:tc>
          <w:tcPr>
            <w:tcW w:w="3828" w:type="dxa"/>
            <w:shd w:val="clear" w:color="auto" w:fill="auto"/>
            <w:noWrap/>
            <w:vAlign w:val="center"/>
          </w:tcPr>
          <w:p w14:paraId="0CC36627">
            <w:pPr>
              <w:widowControl/>
              <w:jc w:val="left"/>
              <w:rPr>
                <w:rFonts w:hint="eastAsia" w:ascii="Times New Roman" w:hAnsi="Times New Roman" w:eastAsia="方正仿宋_GBK" w:cs="Times New Roman"/>
                <w:color w:val="000000"/>
                <w:kern w:val="0"/>
                <w:sz w:val="24"/>
                <w:szCs w:val="24"/>
                <w:lang w:val="en-US" w:eastAsia="zh-CN"/>
              </w:rPr>
            </w:pPr>
            <w:r>
              <w:rPr>
                <w:rFonts w:hint="eastAsia" w:ascii="Times New Roman" w:hAnsi="Times New Roman" w:eastAsia="方正仿宋_GBK" w:cs="Times New Roman"/>
                <w:color w:val="000000"/>
                <w:kern w:val="0"/>
                <w:sz w:val="24"/>
                <w:szCs w:val="24"/>
                <w:lang w:val="en-US" w:eastAsia="zh-CN"/>
              </w:rPr>
              <w:t>建立健全工程建设全过程咨询造价服务管理体系</w:t>
            </w:r>
          </w:p>
        </w:tc>
        <w:tc>
          <w:tcPr>
            <w:tcW w:w="850" w:type="dxa"/>
            <w:shd w:val="clear" w:color="auto" w:fill="auto"/>
            <w:noWrap/>
            <w:vAlign w:val="center"/>
          </w:tcPr>
          <w:p w14:paraId="0DF72922">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4F278C3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3260" w:type="dxa"/>
            <w:shd w:val="clear" w:color="auto" w:fill="auto"/>
            <w:noWrap/>
            <w:vAlign w:val="center"/>
          </w:tcPr>
          <w:p w14:paraId="02C06B4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lang w:eastAsia="zh-CN"/>
              </w:rPr>
              <w:t>出台全过程咨询造价服务管理指导意见。</w:t>
            </w:r>
          </w:p>
        </w:tc>
      </w:tr>
      <w:tr w14:paraId="0BF69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3" w:hRule="atLeast"/>
        </w:trPr>
        <w:tc>
          <w:tcPr>
            <w:tcW w:w="2268" w:type="dxa"/>
            <w:vMerge w:val="restart"/>
            <w:shd w:val="clear" w:color="auto" w:fill="auto"/>
            <w:noWrap/>
            <w:vAlign w:val="center"/>
          </w:tcPr>
          <w:p w14:paraId="23CDABB4">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F加减分项（≤5分）</w:t>
            </w:r>
          </w:p>
        </w:tc>
        <w:tc>
          <w:tcPr>
            <w:tcW w:w="3260" w:type="dxa"/>
            <w:shd w:val="clear" w:color="auto" w:fill="auto"/>
            <w:vAlign w:val="center"/>
          </w:tcPr>
          <w:p w14:paraId="79E17AF0">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F1加分项（1分）</w:t>
            </w:r>
          </w:p>
        </w:tc>
        <w:tc>
          <w:tcPr>
            <w:tcW w:w="3828" w:type="dxa"/>
            <w:shd w:val="clear" w:color="auto" w:fill="auto"/>
            <w:vAlign w:val="center"/>
          </w:tcPr>
          <w:p w14:paraId="035AD76B">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部门（单位）受到国务院、省级、市级嘉奖</w:t>
            </w:r>
          </w:p>
        </w:tc>
        <w:tc>
          <w:tcPr>
            <w:tcW w:w="850" w:type="dxa"/>
            <w:shd w:val="clear" w:color="auto" w:fill="auto"/>
            <w:vAlign w:val="center"/>
          </w:tcPr>
          <w:p w14:paraId="79230878">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1</w:t>
            </w:r>
          </w:p>
        </w:tc>
        <w:tc>
          <w:tcPr>
            <w:tcW w:w="851" w:type="dxa"/>
            <w:vAlign w:val="center"/>
          </w:tcPr>
          <w:p w14:paraId="2CD58AE8">
            <w:pPr>
              <w:widowControl/>
              <w:jc w:val="left"/>
              <w:rPr>
                <w:rFonts w:hint="eastAsia" w:ascii="Times New Roman" w:hAnsi="Times New Roman" w:eastAsia="方正仿宋_GBK" w:cs="Times New Roman"/>
                <w:color w:val="000000"/>
                <w:kern w:val="0"/>
                <w:sz w:val="24"/>
                <w:szCs w:val="24"/>
                <w:lang w:eastAsia="zh-CN"/>
              </w:rPr>
            </w:pPr>
          </w:p>
        </w:tc>
        <w:tc>
          <w:tcPr>
            <w:tcW w:w="3260" w:type="dxa"/>
            <w:shd w:val="clear" w:color="auto" w:fill="auto"/>
            <w:vAlign w:val="center"/>
          </w:tcPr>
          <w:p w14:paraId="57A259E5">
            <w:pPr>
              <w:widowControl/>
              <w:jc w:val="left"/>
              <w:rPr>
                <w:rFonts w:ascii="Times New Roman" w:hAnsi="Times New Roman" w:eastAsia="方正仿宋_GBK" w:cs="Times New Roman"/>
                <w:color w:val="000000"/>
                <w:kern w:val="0"/>
                <w:sz w:val="24"/>
                <w:szCs w:val="24"/>
              </w:rPr>
            </w:pPr>
          </w:p>
        </w:tc>
      </w:tr>
      <w:tr w14:paraId="34E1E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E6A71EF">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26199EAF">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F2减分项</w:t>
            </w:r>
          </w:p>
        </w:tc>
        <w:tc>
          <w:tcPr>
            <w:tcW w:w="3828" w:type="dxa"/>
            <w:shd w:val="clear" w:color="auto" w:fill="auto"/>
            <w:noWrap/>
            <w:vAlign w:val="center"/>
          </w:tcPr>
          <w:p w14:paraId="3BD0C0B9">
            <w:pPr>
              <w:widowControl/>
              <w:jc w:val="left"/>
              <w:rPr>
                <w:rFonts w:ascii="Times New Roman" w:hAnsi="Times New Roman" w:eastAsia="方正仿宋_GBK" w:cs="Times New Roman"/>
                <w:color w:val="000000"/>
                <w:kern w:val="0"/>
                <w:sz w:val="24"/>
                <w:szCs w:val="24"/>
              </w:rPr>
            </w:pPr>
            <w:r>
              <w:rPr>
                <w:rFonts w:hint="eastAsia" w:ascii="Times New Roman" w:hAnsi="Times New Roman" w:eastAsia="方正仿宋_GBK" w:cs="Times New Roman"/>
                <w:color w:val="000000"/>
                <w:kern w:val="0"/>
                <w:sz w:val="24"/>
                <w:szCs w:val="24"/>
              </w:rPr>
              <w:t>部门（单位）或工作人员违法违纪</w:t>
            </w:r>
          </w:p>
        </w:tc>
        <w:tc>
          <w:tcPr>
            <w:tcW w:w="850" w:type="dxa"/>
            <w:shd w:val="clear" w:color="auto" w:fill="auto"/>
            <w:vAlign w:val="center"/>
          </w:tcPr>
          <w:p w14:paraId="18105CC8">
            <w:pPr>
              <w:widowControl/>
              <w:jc w:val="left"/>
              <w:rPr>
                <w:rFonts w:ascii="Times New Roman" w:hAnsi="Times New Roman" w:eastAsia="方正仿宋_GBK" w:cs="Times New Roman"/>
                <w:color w:val="000000"/>
                <w:kern w:val="0"/>
                <w:sz w:val="24"/>
                <w:szCs w:val="24"/>
              </w:rPr>
            </w:pPr>
          </w:p>
        </w:tc>
        <w:tc>
          <w:tcPr>
            <w:tcW w:w="851" w:type="dxa"/>
            <w:vAlign w:val="center"/>
          </w:tcPr>
          <w:p w14:paraId="36D9BB19">
            <w:pPr>
              <w:widowControl/>
              <w:jc w:val="left"/>
              <w:rPr>
                <w:rFonts w:ascii="Times New Roman" w:hAnsi="Times New Roman" w:eastAsia="方正仿宋_GBK" w:cs="Times New Roman"/>
                <w:color w:val="000000"/>
                <w:kern w:val="0"/>
                <w:sz w:val="24"/>
                <w:szCs w:val="24"/>
              </w:rPr>
            </w:pPr>
          </w:p>
        </w:tc>
        <w:tc>
          <w:tcPr>
            <w:tcW w:w="3260" w:type="dxa"/>
            <w:shd w:val="clear" w:color="auto" w:fill="auto"/>
            <w:vAlign w:val="center"/>
          </w:tcPr>
          <w:p w14:paraId="06ED83CD">
            <w:pPr>
              <w:widowControl/>
              <w:jc w:val="left"/>
              <w:rPr>
                <w:rFonts w:hint="eastAsia" w:ascii="Times New Roman" w:hAnsi="Times New Roman" w:eastAsia="方正仿宋_GBK" w:cs="Times New Roman"/>
                <w:color w:val="000000"/>
                <w:kern w:val="0"/>
                <w:sz w:val="24"/>
                <w:szCs w:val="24"/>
                <w:lang w:eastAsia="zh-CN"/>
              </w:rPr>
            </w:pPr>
            <w:r>
              <w:rPr>
                <w:rFonts w:hint="eastAsia" w:ascii="Times New Roman" w:hAnsi="Times New Roman" w:eastAsia="方正仿宋_GBK" w:cs="Times New Roman"/>
                <w:color w:val="000000"/>
                <w:kern w:val="0"/>
                <w:sz w:val="24"/>
                <w:szCs w:val="24"/>
              </w:rPr>
              <w:t>酌情扣分</w:t>
            </w:r>
            <w:r>
              <w:rPr>
                <w:rFonts w:hint="eastAsia" w:ascii="Times New Roman" w:hAnsi="Times New Roman" w:eastAsia="方正仿宋_GBK" w:cs="Times New Roman"/>
                <w:color w:val="000000"/>
                <w:kern w:val="0"/>
                <w:sz w:val="24"/>
                <w:szCs w:val="24"/>
                <w:lang w:eastAsia="zh-CN"/>
              </w:rPr>
              <w:t>。</w:t>
            </w:r>
          </w:p>
        </w:tc>
      </w:tr>
    </w:tbl>
    <w:p w14:paraId="1790B0DD">
      <w:pPr>
        <w:widowControl/>
        <w:rPr>
          <w:rFonts w:ascii="Times New Roman" w:hAnsi="Times New Roman" w:eastAsia="方正仿宋_GBK" w:cs="Times New Roman"/>
          <w:b/>
          <w:bCs/>
          <w:color w:val="000000"/>
          <w:kern w:val="0"/>
          <w:sz w:val="24"/>
          <w:szCs w:val="24"/>
        </w:rPr>
        <w:sectPr>
          <w:headerReference r:id="rId6" w:type="first"/>
          <w:footerReference r:id="rId9" w:type="first"/>
          <w:headerReference r:id="rId4" w:type="default"/>
          <w:footerReference r:id="rId7" w:type="default"/>
          <w:headerReference r:id="rId5" w:type="even"/>
          <w:footerReference r:id="rId8" w:type="even"/>
          <w:pgSz w:w="16838" w:h="11906" w:orient="landscape"/>
          <w:pgMar w:top="1474" w:right="1247" w:bottom="1418" w:left="1247" w:header="851" w:footer="992" w:gutter="0"/>
          <w:cols w:space="425" w:num="1"/>
          <w:docGrid w:type="lines" w:linePitch="381" w:charSpace="0"/>
        </w:sectPr>
      </w:pPr>
    </w:p>
    <w:p w14:paraId="3601BB4F">
      <w:pPr>
        <w:widowControl/>
        <w:rPr>
          <w:rFonts w:hint="eastAsia" w:ascii="Times New Roman" w:hAnsi="Times New Roman" w:eastAsia="方正仿宋_GBK" w:cs="Times New Roman"/>
          <w:b/>
          <w:bCs/>
          <w:color w:val="000000"/>
          <w:kern w:val="0"/>
          <w:sz w:val="24"/>
          <w:szCs w:val="24"/>
          <w:lang w:eastAsia="zh-CN"/>
        </w:rPr>
      </w:pPr>
    </w:p>
    <w:sectPr>
      <w:headerReference r:id="rId10" w:type="default"/>
      <w:footerReference r:id="rId11" w:type="default"/>
      <w:pgSz w:w="16838" w:h="11906" w:orient="landscape"/>
      <w:pgMar w:top="1587" w:right="2098" w:bottom="1587" w:left="1701"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00000001" w:usb1="080E0000" w:usb2="00000000" w:usb3="00000000" w:csb0="00040000" w:csb1="00000000"/>
    <w:embedRegular r:id="rId1" w:fontKey="{E7ECD527-E355-4251-9FE6-736EE2A9203B}"/>
  </w:font>
  <w:font w:name="仿宋">
    <w:panose1 w:val="02010609060101010101"/>
    <w:charset w:val="86"/>
    <w:family w:val="modern"/>
    <w:pitch w:val="default"/>
    <w:sig w:usb0="800002BF" w:usb1="38CF7CFA" w:usb2="00000016" w:usb3="00000000" w:csb0="00040001" w:csb1="00000000"/>
    <w:embedRegular r:id="rId2" w:fontKey="{AE67A6B4-888F-4930-A3E0-6867363E14F4}"/>
  </w:font>
  <w:font w:name="仿宋_GB2312">
    <w:panose1 w:val="02010609030101010101"/>
    <w:charset w:val="86"/>
    <w:family w:val="auto"/>
    <w:pitch w:val="default"/>
    <w:sig w:usb0="00000001" w:usb1="080E0000" w:usb2="00000000" w:usb3="00000000" w:csb0="00040000" w:csb1="00000000"/>
    <w:embedRegular r:id="rId3" w:fontKey="{FDF11FE9-C416-48C2-970B-9768A98DE920}"/>
  </w:font>
  <w:font w:name="Verdana">
    <w:panose1 w:val="020B0604030504040204"/>
    <w:charset w:val="00"/>
    <w:family w:val="auto"/>
    <w:pitch w:val="default"/>
    <w:sig w:usb0="A1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4" w:fontKey="{4E80616D-7BDE-46E5-A96E-5C26344D00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AC5C">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2740025</wp:posOffset>
              </wp:positionH>
              <wp:positionV relativeFrom="paragraph">
                <wp:posOffset>-8890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B175EA">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75pt;margin-top:-0.7pt;height:144pt;width:144pt;mso-position-horizontal-relative:margin;mso-wrap-style:none;z-index:251659264;mso-width-relative:page;mso-height-relative:page;" filled="f" stroked="f" coordsize="21600,21600" o:gfxdata="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7YSqjYAAAACg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02B175EA">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605030"/>
      <w:docPartObj>
        <w:docPartGallery w:val="autotext"/>
      </w:docPartObj>
    </w:sdtPr>
    <w:sdtContent>
      <w:p w14:paraId="64BC0A2C">
        <w:pPr>
          <w:pStyle w:val="2"/>
          <w:ind w:firstLine="360"/>
          <w:jc w:val="center"/>
        </w:pPr>
        <w:r>
          <w:rPr>
            <w:rFonts w:hint="eastAsia"/>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rFonts w:hint="eastAsia"/>
          </w:rPr>
          <w:t>—</w:t>
        </w:r>
      </w:p>
    </w:sdtContent>
  </w:sdt>
  <w:p w14:paraId="23E4EC1C">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8CDE6">
    <w:pPr>
      <w:pStyle w:val="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F6306">
    <w:pPr>
      <w:pStyle w:val="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4519"/>
      <w:docPartObj>
        <w:docPartGallery w:val="autotext"/>
      </w:docPartObj>
    </w:sdtPr>
    <w:sdtContent>
      <w:p w14:paraId="27D36F0A">
        <w:pPr>
          <w:pStyle w:val="2"/>
          <w:ind w:firstLine="360"/>
          <w:jc w:val="center"/>
        </w:pPr>
        <w:r>
          <w:rPr>
            <w:rFonts w:hint="eastAsia"/>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rFonts w:hint="eastAsia"/>
          </w:rPr>
          <w:t>—</w:t>
        </w:r>
      </w:p>
    </w:sdtContent>
  </w:sdt>
  <w:p w14:paraId="1BF2B090">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89EC8">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D180A">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22F2F">
    <w:pPr>
      <w:pStyle w:val="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78F7F">
    <w:pPr>
      <w:ind w:firstLine="5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24BE1"/>
    <w:multiLevelType w:val="singleLevel"/>
    <w:tmpl w:val="CC924B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lYjM0OTU0NjBlYWI2N2Q5NGVmZTdmYmQ5ZmM4N2MifQ=="/>
  </w:docVars>
  <w:rsids>
    <w:rsidRoot w:val="0065627E"/>
    <w:rsid w:val="00140EE8"/>
    <w:rsid w:val="003C6E38"/>
    <w:rsid w:val="0065627E"/>
    <w:rsid w:val="007C290F"/>
    <w:rsid w:val="00903A05"/>
    <w:rsid w:val="0092442F"/>
    <w:rsid w:val="00B97AF8"/>
    <w:rsid w:val="00C358AD"/>
    <w:rsid w:val="00DA68EE"/>
    <w:rsid w:val="00F261CD"/>
    <w:rsid w:val="01251C48"/>
    <w:rsid w:val="020E1C18"/>
    <w:rsid w:val="037B54CB"/>
    <w:rsid w:val="03C36E72"/>
    <w:rsid w:val="04506958"/>
    <w:rsid w:val="048A7923"/>
    <w:rsid w:val="05863FAD"/>
    <w:rsid w:val="078D5951"/>
    <w:rsid w:val="07CA6A21"/>
    <w:rsid w:val="08C815DE"/>
    <w:rsid w:val="0B1B4FD2"/>
    <w:rsid w:val="0C3A6887"/>
    <w:rsid w:val="0C554B20"/>
    <w:rsid w:val="0D3C216F"/>
    <w:rsid w:val="0DBF4B4E"/>
    <w:rsid w:val="0EAD2BF9"/>
    <w:rsid w:val="0F052407"/>
    <w:rsid w:val="10D52D4B"/>
    <w:rsid w:val="11BE210C"/>
    <w:rsid w:val="12054FD6"/>
    <w:rsid w:val="122A0C6A"/>
    <w:rsid w:val="13076D7C"/>
    <w:rsid w:val="13FF0379"/>
    <w:rsid w:val="17F1763E"/>
    <w:rsid w:val="18666DC5"/>
    <w:rsid w:val="199404A6"/>
    <w:rsid w:val="1A2608F3"/>
    <w:rsid w:val="1B123F17"/>
    <w:rsid w:val="1C034482"/>
    <w:rsid w:val="1EEA12FF"/>
    <w:rsid w:val="1FD53A8E"/>
    <w:rsid w:val="212223BB"/>
    <w:rsid w:val="22280099"/>
    <w:rsid w:val="24402C41"/>
    <w:rsid w:val="24AC5839"/>
    <w:rsid w:val="24DD7280"/>
    <w:rsid w:val="25F40F8B"/>
    <w:rsid w:val="260C0B30"/>
    <w:rsid w:val="262C6FAF"/>
    <w:rsid w:val="27D43772"/>
    <w:rsid w:val="29CC3C22"/>
    <w:rsid w:val="2A3871F2"/>
    <w:rsid w:val="2AC07CB6"/>
    <w:rsid w:val="2B8868B1"/>
    <w:rsid w:val="2C7C7C88"/>
    <w:rsid w:val="2D522E91"/>
    <w:rsid w:val="2DE142D4"/>
    <w:rsid w:val="2E7D03CB"/>
    <w:rsid w:val="2F334539"/>
    <w:rsid w:val="2FD82042"/>
    <w:rsid w:val="31C90D02"/>
    <w:rsid w:val="32287BEB"/>
    <w:rsid w:val="32DA370D"/>
    <w:rsid w:val="33DA6384"/>
    <w:rsid w:val="340B70F0"/>
    <w:rsid w:val="34180991"/>
    <w:rsid w:val="34264730"/>
    <w:rsid w:val="352A3E47"/>
    <w:rsid w:val="356B3244"/>
    <w:rsid w:val="36BD312A"/>
    <w:rsid w:val="39480450"/>
    <w:rsid w:val="39B93E43"/>
    <w:rsid w:val="3A5D1040"/>
    <w:rsid w:val="3A9B19D4"/>
    <w:rsid w:val="3BAA5C47"/>
    <w:rsid w:val="3F754121"/>
    <w:rsid w:val="40657D3A"/>
    <w:rsid w:val="43A60796"/>
    <w:rsid w:val="446A2417"/>
    <w:rsid w:val="473A07C7"/>
    <w:rsid w:val="481A0766"/>
    <w:rsid w:val="483B0352"/>
    <w:rsid w:val="4B167F86"/>
    <w:rsid w:val="4C7D7F89"/>
    <w:rsid w:val="4E5B551E"/>
    <w:rsid w:val="4E6600EB"/>
    <w:rsid w:val="51DB5A0E"/>
    <w:rsid w:val="53A60DE9"/>
    <w:rsid w:val="54033963"/>
    <w:rsid w:val="56916A91"/>
    <w:rsid w:val="570D55B0"/>
    <w:rsid w:val="57E10077"/>
    <w:rsid w:val="5A1153B7"/>
    <w:rsid w:val="5D0F040D"/>
    <w:rsid w:val="5DBA01AF"/>
    <w:rsid w:val="5DCA3F8D"/>
    <w:rsid w:val="5EAD7F31"/>
    <w:rsid w:val="61392F4B"/>
    <w:rsid w:val="645D04DF"/>
    <w:rsid w:val="64BF60D6"/>
    <w:rsid w:val="693024F1"/>
    <w:rsid w:val="69FA76C6"/>
    <w:rsid w:val="6AB5321D"/>
    <w:rsid w:val="6B7827DB"/>
    <w:rsid w:val="6BBD7D63"/>
    <w:rsid w:val="6C131F51"/>
    <w:rsid w:val="6CA71735"/>
    <w:rsid w:val="6D806BB4"/>
    <w:rsid w:val="6DFA262F"/>
    <w:rsid w:val="6F44037A"/>
    <w:rsid w:val="70721E09"/>
    <w:rsid w:val="713D64F1"/>
    <w:rsid w:val="71CF0A8D"/>
    <w:rsid w:val="728656E1"/>
    <w:rsid w:val="73104006"/>
    <w:rsid w:val="740238DF"/>
    <w:rsid w:val="76124539"/>
    <w:rsid w:val="77A03C46"/>
    <w:rsid w:val="780F750C"/>
    <w:rsid w:val="783C7B0D"/>
    <w:rsid w:val="78880068"/>
    <w:rsid w:val="78BC48DA"/>
    <w:rsid w:val="78FD2B72"/>
    <w:rsid w:val="78FD502C"/>
    <w:rsid w:val="79034575"/>
    <w:rsid w:val="79370442"/>
    <w:rsid w:val="7B193C74"/>
    <w:rsid w:val="7BA4716E"/>
    <w:rsid w:val="7CE85FF3"/>
    <w:rsid w:val="7D955E5D"/>
    <w:rsid w:val="7FD75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First Indent 2"/>
    <w:basedOn w:val="1"/>
    <w:qFormat/>
    <w:uiPriority w:val="0"/>
    <w:pPr>
      <w:ind w:left="420" w:leftChars="200" w:firstLine="210"/>
    </w:pPr>
    <w:rPr>
      <w:rFonts w:ascii="Times New Roman" w:hAnsi="Times New Roman"/>
    </w:rPr>
  </w:style>
  <w:style w:type="character" w:customStyle="1" w:styleId="7">
    <w:name w:val="页眉 Char"/>
    <w:basedOn w:val="6"/>
    <w:link w:val="3"/>
    <w:semiHidden/>
    <w:qFormat/>
    <w:uiPriority w:val="99"/>
    <w:rPr>
      <w:rFonts w:ascii="Calibri" w:hAnsi="Calibri" w:eastAsia="宋体" w:cs="Times New Roman"/>
      <w:kern w:val="2"/>
      <w:sz w:val="18"/>
      <w:szCs w:val="18"/>
    </w:rPr>
  </w:style>
  <w:style w:type="character" w:customStyle="1" w:styleId="8">
    <w:name w:val="页脚 Char"/>
    <w:basedOn w:val="6"/>
    <w:link w:val="2"/>
    <w:semiHidden/>
    <w:qFormat/>
    <w:uiPriority w:val="99"/>
    <w:rPr>
      <w:rFonts w:ascii="Calibri" w:hAnsi="Calibri" w:eastAsia="宋体" w:cs="Times New Roman"/>
      <w:kern w:val="2"/>
      <w:sz w:val="18"/>
      <w:szCs w:val="18"/>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5159</Words>
  <Characters>5382</Characters>
  <Lines>1</Lines>
  <Paragraphs>7</Paragraphs>
  <TotalTime>118</TotalTime>
  <ScaleCrop>false</ScaleCrop>
  <LinksUpToDate>false</LinksUpToDate>
  <CharactersWithSpaces>5383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2020-08-12T08:49:00Z</dcterms:created>
  <dc:creator>方美娜</dc:creator>
  <cp:lastModifiedBy>方美娜</cp:lastModifiedBy>
  <cp:lastPrinted>2025-06-23T06:58:02Z</cp:lastPrinted>
  <dcterms:modified xsi:type="dcterms:W3CDTF">2025-06-23T06:59:20Z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1053A6889667415CBCAE75C408EC8736_13</vt:lpwstr>
  </property>
  <property fmtid="{D5CDD505-2E9C-101B-9397-08002B2CF9AE}" pid="4" name="KSOTemplateDocerSaveRecord">
    <vt:lpwstr>eyJoZGlkIjoiOGFlYjM0OTU0NjBlYWI2N2Q5NGVmZTdmYmQ5ZmM4N2MiLCJ1c2VySWQiOiIxMDg1MTU1MjQ3In0=</vt:lpwstr>
  </property>
</Properties>
</file>