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F6A2C">
      <w:pPr>
        <w:keepNext w:val="0"/>
        <w:keepLines w:val="0"/>
        <w:pageBreakBefore w:val="0"/>
        <w:kinsoku/>
        <w:wordWrap/>
        <w:overflowPunct/>
        <w:topLinePunct w:val="0"/>
        <w:autoSpaceDE/>
        <w:autoSpaceDN/>
        <w:bidi w:val="0"/>
        <w:adjustRightInd/>
        <w:snapToGrid/>
        <w:spacing w:line="560" w:lineRule="exact"/>
        <w:ind w:firstLine="720"/>
        <w:jc w:val="center"/>
        <w:textAlignment w:val="auto"/>
        <w:rPr>
          <w:rFonts w:ascii="Times New Roman" w:hAnsi="Times New Roman" w:eastAsia="方正小标宋_GBK" w:cs="Times New Roman"/>
          <w:sz w:val="36"/>
          <w:szCs w:val="36"/>
        </w:rPr>
      </w:pPr>
    </w:p>
    <w:p w14:paraId="110C9113">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方正小标宋_GBK" w:cs="Times New Roman"/>
          <w:color w:val="auto"/>
          <w:sz w:val="36"/>
          <w:szCs w:val="36"/>
        </w:rPr>
      </w:pPr>
      <w:r>
        <w:rPr>
          <w:rFonts w:hint="eastAsia" w:ascii="Times New Roman" w:hAnsi="Times New Roman" w:eastAsia="方正小标宋_GBK" w:cs="Times New Roman"/>
          <w:color w:val="auto"/>
          <w:sz w:val="36"/>
          <w:szCs w:val="36"/>
          <w:lang w:val="en-US" w:eastAsia="zh-CN"/>
        </w:rPr>
        <w:t xml:space="preserve">  </w:t>
      </w:r>
      <w:r>
        <w:rPr>
          <w:rFonts w:ascii="Times New Roman" w:hAnsi="Times New Roman" w:eastAsia="方正小标宋_GBK" w:cs="Times New Roman"/>
          <w:color w:val="auto"/>
          <w:sz w:val="36"/>
          <w:szCs w:val="36"/>
        </w:rPr>
        <w:t>202</w:t>
      </w:r>
      <w:r>
        <w:rPr>
          <w:rFonts w:hint="eastAsia" w:ascii="Times New Roman" w:hAnsi="Times New Roman" w:eastAsia="方正小标宋_GBK" w:cs="Times New Roman"/>
          <w:color w:val="auto"/>
          <w:sz w:val="36"/>
          <w:szCs w:val="36"/>
        </w:rPr>
        <w:t>4</w:t>
      </w:r>
      <w:r>
        <w:rPr>
          <w:rFonts w:ascii="Times New Roman" w:hAnsi="Times New Roman" w:eastAsia="方正小标宋_GBK" w:cs="Times New Roman"/>
          <w:color w:val="auto"/>
          <w:sz w:val="36"/>
          <w:szCs w:val="36"/>
        </w:rPr>
        <w:t>年度</w:t>
      </w:r>
      <w:r>
        <w:rPr>
          <w:rFonts w:hint="eastAsia" w:ascii="Times New Roman" w:hAnsi="Times New Roman" w:eastAsia="方正小标宋_GBK" w:cs="Times New Roman"/>
          <w:color w:val="auto"/>
          <w:sz w:val="36"/>
          <w:szCs w:val="36"/>
        </w:rPr>
        <w:t>南京市城乡建设委员会</w:t>
      </w:r>
      <w:r>
        <w:rPr>
          <w:rFonts w:ascii="Times New Roman" w:hAnsi="Times New Roman" w:eastAsia="方正小标宋_GBK" w:cs="Times New Roman"/>
          <w:color w:val="auto"/>
          <w:sz w:val="36"/>
          <w:szCs w:val="36"/>
        </w:rPr>
        <w:t>政府采购支持</w:t>
      </w:r>
    </w:p>
    <w:p w14:paraId="212BF282">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方正小标宋_GBK" w:cs="Times New Roman"/>
          <w:color w:val="auto"/>
          <w:sz w:val="36"/>
          <w:szCs w:val="36"/>
        </w:rPr>
      </w:pPr>
      <w:r>
        <w:rPr>
          <w:rFonts w:hint="eastAsia" w:ascii="Times New Roman" w:hAnsi="Times New Roman" w:eastAsia="方正小标宋_GBK" w:cs="Times New Roman"/>
          <w:color w:val="auto"/>
          <w:sz w:val="36"/>
          <w:szCs w:val="36"/>
          <w:lang w:val="en-US" w:eastAsia="zh-CN"/>
        </w:rPr>
        <w:t xml:space="preserve"> </w:t>
      </w:r>
      <w:r>
        <w:rPr>
          <w:rFonts w:ascii="Times New Roman" w:hAnsi="Times New Roman" w:eastAsia="方正小标宋_GBK" w:cs="Times New Roman"/>
          <w:color w:val="auto"/>
          <w:sz w:val="36"/>
          <w:szCs w:val="36"/>
        </w:rPr>
        <w:t>绿色建材</w:t>
      </w:r>
      <w:r>
        <w:rPr>
          <w:rFonts w:hint="eastAsia" w:ascii="Times New Roman" w:hAnsi="Times New Roman" w:eastAsia="方正小标宋_GBK" w:cs="Times New Roman"/>
          <w:color w:val="auto"/>
          <w:sz w:val="36"/>
          <w:szCs w:val="36"/>
        </w:rPr>
        <w:t>工作</w:t>
      </w:r>
      <w:r>
        <w:rPr>
          <w:rFonts w:ascii="Times New Roman" w:hAnsi="Times New Roman" w:eastAsia="方正小标宋_GBK" w:cs="Times New Roman"/>
          <w:color w:val="auto"/>
          <w:sz w:val="36"/>
          <w:szCs w:val="36"/>
        </w:rPr>
        <w:t>专项资金绩效评价报告</w:t>
      </w:r>
    </w:p>
    <w:p w14:paraId="166163FB">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08BB1323">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15751AEA">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7B681B64">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1FE2F531">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6B034617">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703C2A0D">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662F68ED">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66376BFF">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42C4C4BC">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29FCCD89">
      <w:pPr>
        <w:keepNext w:val="0"/>
        <w:keepLines w:val="0"/>
        <w:pageBreakBefore w:val="0"/>
        <w:kinsoku/>
        <w:wordWrap/>
        <w:overflowPunct/>
        <w:topLinePunct w:val="0"/>
        <w:autoSpaceDE/>
        <w:autoSpaceDN/>
        <w:bidi w:val="0"/>
        <w:adjustRightInd/>
        <w:snapToGrid/>
        <w:spacing w:line="560" w:lineRule="exact"/>
        <w:ind w:firstLine="880"/>
        <w:textAlignment w:val="auto"/>
        <w:rPr>
          <w:rFonts w:ascii="Times New Roman" w:hAnsi="Times New Roman" w:eastAsia="方正小标宋_GBK" w:cs="Times New Roman"/>
          <w:color w:val="auto"/>
          <w:sz w:val="44"/>
          <w:szCs w:val="44"/>
        </w:rPr>
      </w:pPr>
    </w:p>
    <w:p w14:paraId="50B4A48D">
      <w:pPr>
        <w:keepNext w:val="0"/>
        <w:keepLines w:val="0"/>
        <w:pageBreakBefore w:val="0"/>
        <w:kinsoku/>
        <w:wordWrap/>
        <w:overflowPunct/>
        <w:topLinePunct w:val="0"/>
        <w:autoSpaceDE/>
        <w:autoSpaceDN/>
        <w:bidi w:val="0"/>
        <w:adjustRightInd/>
        <w:snapToGrid/>
        <w:spacing w:line="560" w:lineRule="exact"/>
        <w:ind w:left="2130" w:leftChars="300" w:hanging="1500" w:hangingChars="500"/>
        <w:textAlignment w:val="auto"/>
        <w:rPr>
          <w:rFonts w:ascii="Times New Roman" w:hAnsi="Times New Roman" w:eastAsia="方正小标宋_GBK" w:cs="Times New Roman"/>
          <w:color w:val="auto"/>
          <w:sz w:val="30"/>
          <w:szCs w:val="30"/>
        </w:rPr>
      </w:pPr>
    </w:p>
    <w:p w14:paraId="58DAC0AA">
      <w:pPr>
        <w:keepNext w:val="0"/>
        <w:keepLines w:val="0"/>
        <w:pageBreakBefore w:val="0"/>
        <w:kinsoku/>
        <w:wordWrap/>
        <w:overflowPunct/>
        <w:topLinePunct w:val="0"/>
        <w:autoSpaceDE/>
        <w:autoSpaceDN/>
        <w:bidi w:val="0"/>
        <w:adjustRightInd/>
        <w:snapToGrid/>
        <w:spacing w:line="560" w:lineRule="exact"/>
        <w:ind w:left="2130" w:leftChars="300" w:hanging="1500" w:hangingChars="500"/>
        <w:textAlignment w:val="auto"/>
        <w:rPr>
          <w:rFonts w:ascii="Times New Roman" w:hAnsi="Times New Roman" w:eastAsia="方正小标宋_GBK" w:cs="Times New Roman"/>
          <w:color w:val="auto"/>
          <w:sz w:val="30"/>
          <w:szCs w:val="30"/>
        </w:rPr>
      </w:pPr>
      <w:r>
        <w:rPr>
          <w:rFonts w:ascii="Times New Roman" w:hAnsi="Times New Roman" w:eastAsia="方正小标宋_GBK" w:cs="Times New Roman"/>
          <w:color w:val="auto"/>
          <w:sz w:val="30"/>
          <w:szCs w:val="30"/>
        </w:rPr>
        <w:t>项目名称：202</w:t>
      </w:r>
      <w:r>
        <w:rPr>
          <w:rFonts w:hint="eastAsia" w:ascii="Times New Roman" w:hAnsi="Times New Roman" w:eastAsia="方正小标宋_GBK" w:cs="Times New Roman"/>
          <w:color w:val="auto"/>
          <w:sz w:val="30"/>
          <w:szCs w:val="30"/>
        </w:rPr>
        <w:t>4</w:t>
      </w:r>
      <w:r>
        <w:rPr>
          <w:rFonts w:ascii="Times New Roman" w:hAnsi="Times New Roman" w:eastAsia="方正小标宋_GBK" w:cs="Times New Roman"/>
          <w:color w:val="auto"/>
          <w:sz w:val="30"/>
          <w:szCs w:val="30"/>
        </w:rPr>
        <w:t>年政府采购支持绿色建材</w:t>
      </w:r>
      <w:r>
        <w:rPr>
          <w:rFonts w:hint="eastAsia" w:ascii="Times New Roman" w:hAnsi="Times New Roman" w:eastAsia="方正小标宋_GBK" w:cs="Times New Roman"/>
          <w:color w:val="auto"/>
          <w:sz w:val="30"/>
          <w:szCs w:val="30"/>
        </w:rPr>
        <w:t>工作</w:t>
      </w:r>
      <w:r>
        <w:rPr>
          <w:rFonts w:ascii="Times New Roman" w:hAnsi="Times New Roman" w:eastAsia="方正小标宋_GBK" w:cs="Times New Roman"/>
          <w:color w:val="auto"/>
          <w:sz w:val="30"/>
          <w:szCs w:val="30"/>
        </w:rPr>
        <w:t>专项资金</w:t>
      </w:r>
    </w:p>
    <w:p w14:paraId="0E2956F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ascii="Times New Roman" w:hAnsi="Times New Roman" w:eastAsia="方正小标宋_GBK" w:cs="Times New Roman"/>
          <w:b/>
          <w:color w:val="auto"/>
          <w:sz w:val="30"/>
          <w:szCs w:val="30"/>
        </w:rPr>
      </w:pPr>
      <w:r>
        <w:rPr>
          <w:rFonts w:ascii="Times New Roman" w:hAnsi="Times New Roman" w:eastAsia="方正小标宋_GBK" w:cs="Times New Roman"/>
          <w:color w:val="auto"/>
          <w:sz w:val="30"/>
          <w:szCs w:val="30"/>
        </w:rPr>
        <w:t>项目单位：南京市绿色建筑与绿色建材发展中心</w:t>
      </w:r>
    </w:p>
    <w:p w14:paraId="4A8F5AC2">
      <w:pPr>
        <w:keepNext w:val="0"/>
        <w:keepLines w:val="0"/>
        <w:pageBreakBefore w:val="0"/>
        <w:kinsoku/>
        <w:wordWrap/>
        <w:overflowPunct/>
        <w:topLinePunct w:val="0"/>
        <w:autoSpaceDE/>
        <w:autoSpaceDN/>
        <w:bidi w:val="0"/>
        <w:adjustRightInd/>
        <w:snapToGrid/>
        <w:spacing w:line="560" w:lineRule="exact"/>
        <w:ind w:firstLine="803"/>
        <w:textAlignment w:val="auto"/>
        <w:rPr>
          <w:rFonts w:ascii="Times New Roman" w:hAnsi="Times New Roman" w:eastAsia="方正小标宋_GBK" w:cs="Times New Roman"/>
          <w:b/>
          <w:color w:val="auto"/>
          <w:sz w:val="40"/>
          <w:szCs w:val="40"/>
        </w:rPr>
      </w:pPr>
    </w:p>
    <w:p w14:paraId="325DC386">
      <w:pPr>
        <w:keepNext w:val="0"/>
        <w:keepLines w:val="0"/>
        <w:pageBreakBefore w:val="0"/>
        <w:kinsoku/>
        <w:wordWrap/>
        <w:overflowPunct/>
        <w:topLinePunct w:val="0"/>
        <w:autoSpaceDE/>
        <w:autoSpaceDN/>
        <w:bidi w:val="0"/>
        <w:adjustRightInd/>
        <w:snapToGrid/>
        <w:spacing w:line="560" w:lineRule="exact"/>
        <w:ind w:firstLine="803"/>
        <w:textAlignment w:val="auto"/>
        <w:rPr>
          <w:rFonts w:ascii="Times New Roman" w:hAnsi="Times New Roman" w:eastAsia="方正小标宋_GBK" w:cs="Times New Roman"/>
          <w:b/>
          <w:color w:val="auto"/>
          <w:sz w:val="40"/>
          <w:szCs w:val="40"/>
        </w:rPr>
      </w:pPr>
    </w:p>
    <w:p w14:paraId="394D78BE">
      <w:pPr>
        <w:keepNext w:val="0"/>
        <w:keepLines w:val="0"/>
        <w:pageBreakBefore w:val="0"/>
        <w:kinsoku/>
        <w:wordWrap/>
        <w:overflowPunct/>
        <w:topLinePunct w:val="0"/>
        <w:autoSpaceDE/>
        <w:autoSpaceDN/>
        <w:bidi w:val="0"/>
        <w:adjustRightInd/>
        <w:snapToGrid/>
        <w:spacing w:line="560" w:lineRule="exact"/>
        <w:ind w:firstLine="600"/>
        <w:jc w:val="center"/>
        <w:textAlignment w:val="auto"/>
        <w:rPr>
          <w:rFonts w:ascii="Times New Roman" w:hAnsi="Times New Roman" w:eastAsia="方正小标宋_GBK" w:cs="Times New Roman"/>
          <w:bCs/>
          <w:color w:val="auto"/>
          <w:sz w:val="30"/>
          <w:szCs w:val="30"/>
        </w:rPr>
      </w:pPr>
      <w:r>
        <w:rPr>
          <w:rFonts w:ascii="Times New Roman" w:hAnsi="Times New Roman" w:eastAsia="方正小标宋_GBK" w:cs="Times New Roman"/>
          <w:bCs/>
          <w:color w:val="auto"/>
          <w:sz w:val="30"/>
          <w:szCs w:val="30"/>
        </w:rPr>
        <w:t>202</w:t>
      </w:r>
      <w:r>
        <w:rPr>
          <w:rFonts w:hint="eastAsia" w:ascii="Times New Roman" w:hAnsi="Times New Roman" w:eastAsia="方正小标宋_GBK" w:cs="Times New Roman"/>
          <w:bCs/>
          <w:color w:val="auto"/>
          <w:sz w:val="30"/>
          <w:szCs w:val="30"/>
        </w:rPr>
        <w:t>5</w:t>
      </w:r>
      <w:r>
        <w:rPr>
          <w:rFonts w:ascii="Times New Roman" w:hAnsi="Times New Roman" w:eastAsia="方正小标宋_GBK" w:cs="Times New Roman"/>
          <w:bCs/>
          <w:color w:val="auto"/>
          <w:sz w:val="30"/>
          <w:szCs w:val="30"/>
        </w:rPr>
        <w:t>年</w:t>
      </w:r>
      <w:r>
        <w:rPr>
          <w:rFonts w:hint="eastAsia" w:ascii="Times New Roman" w:hAnsi="Times New Roman" w:eastAsia="方正小标宋_GBK" w:cs="Times New Roman"/>
          <w:bCs/>
          <w:color w:val="auto"/>
          <w:sz w:val="30"/>
          <w:szCs w:val="30"/>
          <w:lang w:val="en-US" w:eastAsia="zh-CN"/>
        </w:rPr>
        <w:t>6</w:t>
      </w:r>
      <w:r>
        <w:rPr>
          <w:rFonts w:ascii="Times New Roman" w:hAnsi="Times New Roman" w:eastAsia="方正小标宋_GBK" w:cs="Times New Roman"/>
          <w:bCs/>
          <w:color w:val="auto"/>
          <w:sz w:val="30"/>
          <w:szCs w:val="30"/>
        </w:rPr>
        <w:t>月</w:t>
      </w:r>
    </w:p>
    <w:p w14:paraId="120CF1C4">
      <w:pPr>
        <w:keepNext w:val="0"/>
        <w:keepLines w:val="0"/>
        <w:pageBreakBefore w:val="0"/>
        <w:kinsoku/>
        <w:wordWrap/>
        <w:overflowPunct/>
        <w:topLinePunct w:val="0"/>
        <w:autoSpaceDE/>
        <w:autoSpaceDN/>
        <w:bidi w:val="0"/>
        <w:adjustRightInd/>
        <w:snapToGrid/>
        <w:spacing w:line="560" w:lineRule="exact"/>
        <w:ind w:firstLine="440"/>
        <w:textAlignment w:val="auto"/>
        <w:rPr>
          <w:rFonts w:hint="eastAsia" w:ascii="黑体" w:hAnsi="黑体" w:eastAsia="黑体" w:cs="黑体"/>
          <w:kern w:val="0"/>
          <w:sz w:val="22"/>
          <w:lang w:val="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sdt>
      <w:sdtPr>
        <w:rPr>
          <w:rFonts w:hint="eastAsia" w:ascii="黑体" w:hAnsi="黑体" w:eastAsia="黑体" w:cs="黑体"/>
          <w:kern w:val="0"/>
          <w:sz w:val="22"/>
          <w:lang w:val="zh-CN"/>
        </w:rPr>
        <w:id w:val="869644807"/>
        <w:docPartObj>
          <w:docPartGallery w:val="Table of Contents"/>
          <w:docPartUnique/>
        </w:docPartObj>
      </w:sdtPr>
      <w:sdtEndPr>
        <w:rPr>
          <w:rFonts w:hint="eastAsia" w:ascii="黑体" w:hAnsi="黑体" w:eastAsia="黑体" w:cs="Times New Roman"/>
          <w:kern w:val="0"/>
          <w:sz w:val="22"/>
          <w:lang w:val="zh-CN"/>
        </w:rPr>
      </w:sdtEndPr>
      <w:sdtContent>
        <w:p w14:paraId="08CCA83E">
          <w:pPr>
            <w:keepNext w:val="0"/>
            <w:keepLines w:val="0"/>
            <w:pageBreakBefore w:val="0"/>
            <w:kinsoku/>
            <w:wordWrap/>
            <w:overflowPunct/>
            <w:topLinePunct w:val="0"/>
            <w:autoSpaceDE/>
            <w:autoSpaceDN/>
            <w:bidi w:val="0"/>
            <w:adjustRightInd/>
            <w:snapToGrid/>
            <w:spacing w:line="560" w:lineRule="exact"/>
            <w:ind w:firstLine="440"/>
            <w:jc w:val="center"/>
            <w:textAlignment w:val="auto"/>
            <w:rPr>
              <w:rFonts w:hint="eastAsia" w:ascii="黑体" w:hAnsi="黑体" w:eastAsia="黑体" w:cs="黑体"/>
              <w:kern w:val="0"/>
              <w:sz w:val="22"/>
              <w:lang w:val="zh-CN"/>
            </w:rPr>
          </w:pPr>
        </w:p>
        <w:p w14:paraId="2339AB42">
          <w:pPr>
            <w:keepNext w:val="0"/>
            <w:keepLines w:val="0"/>
            <w:pageBreakBefore w:val="0"/>
            <w:kinsoku/>
            <w:wordWrap/>
            <w:overflowPunct/>
            <w:topLinePunct w:val="0"/>
            <w:autoSpaceDE/>
            <w:autoSpaceDN/>
            <w:bidi w:val="0"/>
            <w:adjustRightInd/>
            <w:snapToGrid/>
            <w:spacing w:line="560" w:lineRule="exact"/>
            <w:ind w:firstLine="3603" w:firstLineChars="819"/>
            <w:jc w:val="both"/>
            <w:textAlignment w:val="auto"/>
            <w:rPr>
              <w:rFonts w:hint="eastAsia" w:ascii="黑体" w:hAnsi="黑体" w:eastAsia="黑体" w:cs="黑体"/>
              <w:sz w:val="44"/>
              <w:szCs w:val="44"/>
              <w:lang w:val="zh-CN"/>
            </w:rPr>
          </w:pPr>
          <w:r>
            <w:rPr>
              <w:rFonts w:hint="eastAsia" w:ascii="黑体" w:hAnsi="黑体" w:eastAsia="黑体" w:cs="黑体"/>
              <w:sz w:val="44"/>
              <w:szCs w:val="44"/>
              <w:lang w:val="zh-CN"/>
            </w:rPr>
            <w:t>目  录</w:t>
          </w:r>
        </w:p>
        <w:p w14:paraId="683A4B3C">
          <w:pPr>
            <w:keepNext w:val="0"/>
            <w:keepLines w:val="0"/>
            <w:pageBreakBefore w:val="0"/>
            <w:kinsoku/>
            <w:wordWrap/>
            <w:overflowPunct/>
            <w:topLinePunct w:val="0"/>
            <w:autoSpaceDE/>
            <w:autoSpaceDN/>
            <w:bidi w:val="0"/>
            <w:adjustRightInd/>
            <w:snapToGrid/>
            <w:spacing w:line="560" w:lineRule="exact"/>
            <w:ind w:firstLine="883"/>
            <w:textAlignment w:val="auto"/>
            <w:rPr>
              <w:rFonts w:hint="eastAsia" w:ascii="黑体" w:hAnsi="黑体" w:eastAsia="黑体"/>
              <w:b/>
              <w:sz w:val="44"/>
              <w:szCs w:val="44"/>
            </w:rPr>
          </w:pPr>
        </w:p>
        <w:p w14:paraId="3DE3A928">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rPr>
          </w:pPr>
          <w:r>
            <w:rPr>
              <w:rFonts w:hint="eastAsia" w:ascii="黑体" w:hAnsi="黑体" w:eastAsia="黑体" w:cs="黑体"/>
              <w:sz w:val="32"/>
              <w:szCs w:val="32"/>
            </w:rPr>
            <w:t>一、项目概况</w:t>
          </w:r>
          <w:r>
            <w:rPr>
              <w:rFonts w:ascii="仿宋" w:hAnsi="仿宋" w:eastAsia="仿宋"/>
              <w:sz w:val="32"/>
              <w:szCs w:val="32"/>
            </w:rPr>
            <w:ptab w:relativeTo="margin" w:alignment="right" w:leader="dot"/>
          </w:r>
          <w:r>
            <w:rPr>
              <w:rFonts w:hint="eastAsia" w:ascii="仿宋" w:hAnsi="仿宋" w:eastAsia="仿宋"/>
              <w:sz w:val="32"/>
              <w:szCs w:val="32"/>
            </w:rPr>
            <w:t>1</w:t>
          </w:r>
        </w:p>
        <w:p w14:paraId="65FBEC2D">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rPr>
          </w:pPr>
          <w:r>
            <w:rPr>
              <w:rFonts w:hint="eastAsia" w:ascii="楷体" w:hAnsi="楷体" w:eastAsia="楷体" w:cs="楷体"/>
              <w:sz w:val="32"/>
              <w:szCs w:val="32"/>
            </w:rPr>
            <w:t>（一）项目基本情况</w:t>
          </w:r>
          <w:r>
            <w:rPr>
              <w:rFonts w:ascii="仿宋" w:hAnsi="仿宋" w:eastAsia="仿宋"/>
              <w:sz w:val="32"/>
              <w:szCs w:val="32"/>
            </w:rPr>
            <w:ptab w:relativeTo="margin" w:alignment="right" w:leader="dot"/>
          </w:r>
          <w:r>
            <w:rPr>
              <w:rFonts w:hint="eastAsia" w:ascii="仿宋" w:hAnsi="仿宋" w:eastAsia="仿宋"/>
              <w:sz w:val="32"/>
              <w:szCs w:val="32"/>
            </w:rPr>
            <w:t>1</w:t>
          </w:r>
        </w:p>
        <w:p w14:paraId="791828F4">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rPr>
          </w:pPr>
          <w:r>
            <w:rPr>
              <w:rFonts w:hint="eastAsia" w:ascii="楷体" w:hAnsi="楷体" w:eastAsia="楷体" w:cs="楷体"/>
              <w:sz w:val="32"/>
              <w:szCs w:val="32"/>
            </w:rPr>
            <w:t>（二）项目资金情况</w:t>
          </w:r>
          <w:r>
            <w:rPr>
              <w:rFonts w:ascii="仿宋" w:hAnsi="仿宋" w:eastAsia="仿宋"/>
              <w:sz w:val="32"/>
              <w:szCs w:val="32"/>
            </w:rPr>
            <w:ptab w:relativeTo="margin" w:alignment="right" w:leader="dot"/>
          </w:r>
          <w:r>
            <w:rPr>
              <w:rFonts w:hint="eastAsia" w:ascii="仿宋" w:hAnsi="仿宋" w:eastAsia="仿宋"/>
              <w:sz w:val="32"/>
              <w:szCs w:val="32"/>
            </w:rPr>
            <w:t>2</w:t>
          </w:r>
        </w:p>
        <w:p w14:paraId="33665574">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rPr>
          </w:pPr>
          <w:r>
            <w:rPr>
              <w:rFonts w:hint="eastAsia" w:ascii="楷体" w:hAnsi="楷体" w:eastAsia="楷体" w:cs="楷体"/>
              <w:sz w:val="32"/>
              <w:szCs w:val="32"/>
            </w:rPr>
            <w:t>（三）绩效目标</w:t>
          </w:r>
          <w:r>
            <w:rPr>
              <w:rFonts w:ascii="仿宋" w:hAnsi="仿宋" w:eastAsia="仿宋"/>
              <w:sz w:val="32"/>
              <w:szCs w:val="32"/>
            </w:rPr>
            <w:ptab w:relativeTo="margin" w:alignment="right" w:leader="dot"/>
          </w:r>
          <w:r>
            <w:rPr>
              <w:rFonts w:hint="eastAsia" w:ascii="仿宋" w:hAnsi="仿宋" w:eastAsia="仿宋"/>
              <w:sz w:val="32"/>
              <w:szCs w:val="32"/>
            </w:rPr>
            <w:t>2</w:t>
          </w:r>
        </w:p>
        <w:p w14:paraId="460CD0AE">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lang w:val="en-US" w:eastAsia="zh-CN"/>
            </w:rPr>
          </w:pPr>
          <w:r>
            <w:rPr>
              <w:rFonts w:hint="eastAsia" w:ascii="黑体" w:hAnsi="黑体" w:eastAsia="黑体" w:cs="黑体"/>
              <w:sz w:val="32"/>
              <w:szCs w:val="32"/>
            </w:rPr>
            <w:t>二、评价结论</w:t>
          </w:r>
          <w:r>
            <w:rPr>
              <w:rFonts w:ascii="仿宋" w:hAnsi="仿宋" w:eastAsia="仿宋"/>
              <w:sz w:val="32"/>
              <w:szCs w:val="32"/>
            </w:rPr>
            <w:ptab w:relativeTo="margin" w:alignment="right" w:leader="dot"/>
          </w:r>
          <w:r>
            <w:rPr>
              <w:rFonts w:hint="eastAsia" w:ascii="仿宋" w:hAnsi="仿宋" w:eastAsia="仿宋"/>
              <w:sz w:val="32"/>
              <w:szCs w:val="32"/>
              <w:lang w:val="en-US" w:eastAsia="zh-CN"/>
            </w:rPr>
            <w:t>2</w:t>
          </w:r>
        </w:p>
        <w:p w14:paraId="1633C004">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rPr>
          </w:pPr>
          <w:r>
            <w:rPr>
              <w:rFonts w:hint="eastAsia" w:ascii="黑体" w:hAnsi="黑体" w:eastAsia="黑体" w:cs="黑体"/>
              <w:sz w:val="32"/>
              <w:szCs w:val="32"/>
            </w:rPr>
            <w:t>三、项目成效</w:t>
          </w:r>
          <w:r>
            <w:rPr>
              <w:rFonts w:ascii="仿宋" w:hAnsi="仿宋" w:eastAsia="仿宋"/>
              <w:sz w:val="32"/>
              <w:szCs w:val="32"/>
            </w:rPr>
            <w:ptab w:relativeTo="margin" w:alignment="right" w:leader="dot"/>
          </w:r>
          <w:r>
            <w:rPr>
              <w:rFonts w:hint="eastAsia" w:ascii="仿宋" w:hAnsi="仿宋" w:eastAsia="仿宋"/>
              <w:sz w:val="32"/>
              <w:szCs w:val="32"/>
            </w:rPr>
            <w:t>3</w:t>
          </w:r>
        </w:p>
        <w:p w14:paraId="7E5BDA5A">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lang w:val="en-US" w:eastAsia="zh-CN"/>
            </w:rPr>
          </w:pPr>
          <w:r>
            <w:rPr>
              <w:rFonts w:hint="eastAsia" w:ascii="黑体" w:hAnsi="黑体" w:eastAsia="黑体" w:cs="黑体"/>
              <w:sz w:val="32"/>
              <w:szCs w:val="32"/>
            </w:rPr>
            <w:t>四、存在问题及原因分析</w:t>
          </w:r>
          <w:r>
            <w:rPr>
              <w:rFonts w:ascii="仿宋" w:hAnsi="仿宋" w:eastAsia="仿宋"/>
              <w:sz w:val="32"/>
              <w:szCs w:val="32"/>
            </w:rPr>
            <w:ptab w:relativeTo="margin" w:alignment="right" w:leader="dot"/>
          </w:r>
          <w:r>
            <w:rPr>
              <w:rFonts w:hint="eastAsia" w:ascii="仿宋" w:hAnsi="仿宋" w:eastAsia="仿宋"/>
              <w:sz w:val="32"/>
              <w:szCs w:val="32"/>
              <w:lang w:val="en-US" w:eastAsia="zh-CN"/>
            </w:rPr>
            <w:t>4</w:t>
          </w:r>
        </w:p>
        <w:p w14:paraId="462F089F">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lang w:val="en-US" w:eastAsia="zh-CN"/>
            </w:rPr>
          </w:pPr>
          <w:r>
            <w:rPr>
              <w:rFonts w:hint="eastAsia" w:ascii="黑体" w:hAnsi="黑体" w:eastAsia="黑体" w:cs="黑体"/>
              <w:sz w:val="32"/>
              <w:szCs w:val="32"/>
            </w:rPr>
            <w:t>五、</w:t>
          </w:r>
          <w:r>
            <w:rPr>
              <w:rFonts w:hint="eastAsia" w:ascii="黑体" w:hAnsi="黑体" w:eastAsia="黑体" w:cs="黑体"/>
              <w:sz w:val="32"/>
              <w:szCs w:val="32"/>
              <w:lang w:val="en-US" w:eastAsia="zh-CN"/>
            </w:rPr>
            <w:t>有关</w:t>
          </w:r>
          <w:r>
            <w:rPr>
              <w:rFonts w:hint="eastAsia" w:ascii="黑体" w:hAnsi="黑体" w:eastAsia="黑体" w:cs="黑体"/>
              <w:sz w:val="32"/>
              <w:szCs w:val="32"/>
            </w:rPr>
            <w:t>建议</w:t>
          </w:r>
          <w:r>
            <w:rPr>
              <w:rFonts w:ascii="仿宋" w:hAnsi="仿宋" w:eastAsia="仿宋"/>
              <w:sz w:val="32"/>
              <w:szCs w:val="32"/>
            </w:rPr>
            <w:ptab w:relativeTo="margin" w:alignment="right" w:leader="dot"/>
          </w:r>
          <w:r>
            <w:rPr>
              <w:rFonts w:hint="eastAsia" w:ascii="仿宋" w:hAnsi="仿宋" w:eastAsia="仿宋"/>
              <w:sz w:val="32"/>
              <w:szCs w:val="32"/>
              <w:lang w:val="en-US" w:eastAsia="zh-CN"/>
            </w:rPr>
            <w:t>5</w:t>
          </w:r>
        </w:p>
        <w:p w14:paraId="42EB94A3">
          <w:pPr>
            <w:pStyle w:val="9"/>
            <w:keepNext w:val="0"/>
            <w:keepLines w:val="0"/>
            <w:pageBreakBefore w:val="0"/>
            <w:kinsoku/>
            <w:wordWrap/>
            <w:overflowPunct/>
            <w:topLinePunct w:val="0"/>
            <w:autoSpaceDE/>
            <w:autoSpaceDN/>
            <w:bidi w:val="0"/>
            <w:adjustRightInd/>
            <w:snapToGrid/>
            <w:spacing w:line="560" w:lineRule="exact"/>
            <w:ind w:left="0"/>
            <w:textAlignment w:val="auto"/>
            <w:rPr>
              <w:rFonts w:hint="eastAsia" w:ascii="仿宋" w:hAnsi="仿宋" w:eastAsia="仿宋"/>
              <w:sz w:val="32"/>
              <w:szCs w:val="32"/>
              <w:lang w:val="en-US" w:eastAsia="zh-CN"/>
            </w:rPr>
          </w:pPr>
          <w:r>
            <w:rPr>
              <w:rFonts w:hint="eastAsia" w:ascii="黑体" w:hAnsi="黑体" w:eastAsia="黑体" w:cs="黑体"/>
              <w:sz w:val="32"/>
              <w:szCs w:val="32"/>
            </w:rPr>
            <w:t>六、评价工作开展情况及其他需要说明的情况</w:t>
          </w:r>
          <w:r>
            <w:rPr>
              <w:rFonts w:ascii="仿宋" w:hAnsi="仿宋" w:eastAsia="仿宋"/>
              <w:sz w:val="32"/>
              <w:szCs w:val="32"/>
            </w:rPr>
            <w:ptab w:relativeTo="margin" w:alignment="right" w:leader="dot"/>
          </w:r>
          <w:r>
            <w:rPr>
              <w:rFonts w:hint="eastAsia" w:ascii="仿宋" w:hAnsi="仿宋" w:eastAsia="仿宋"/>
              <w:sz w:val="32"/>
              <w:szCs w:val="32"/>
              <w:lang w:val="en-US" w:eastAsia="zh-CN"/>
            </w:rPr>
            <w:t>6</w:t>
          </w:r>
        </w:p>
        <w:p w14:paraId="0307043C">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lang w:val="en-US" w:eastAsia="zh-CN"/>
            </w:rPr>
          </w:pPr>
          <w:r>
            <w:rPr>
              <w:rFonts w:hint="eastAsia" w:ascii="楷体" w:hAnsi="楷体" w:eastAsia="楷体" w:cs="楷体"/>
              <w:sz w:val="32"/>
              <w:szCs w:val="32"/>
            </w:rPr>
            <w:t>（一）</w:t>
          </w:r>
          <w:r>
            <w:rPr>
              <w:rFonts w:hint="eastAsia" w:ascii="楷体" w:hAnsi="楷体" w:eastAsia="楷体" w:cs="楷体"/>
              <w:spacing w:val="53"/>
              <w:kern w:val="0"/>
              <w:sz w:val="32"/>
              <w:szCs w:val="32"/>
              <w:fitText w:val="1600" w:id="-1275866876"/>
            </w:rPr>
            <w:t>评价思</w:t>
          </w:r>
          <w:r>
            <w:rPr>
              <w:rFonts w:hint="eastAsia" w:ascii="楷体" w:hAnsi="楷体" w:eastAsia="楷体" w:cs="楷体"/>
              <w:spacing w:val="1"/>
              <w:kern w:val="0"/>
              <w:sz w:val="32"/>
              <w:szCs w:val="32"/>
              <w:fitText w:val="1600" w:id="-1275866876"/>
            </w:rPr>
            <w:t>路</w:t>
          </w:r>
          <w:r>
            <w:rPr>
              <w:rFonts w:ascii="仿宋" w:hAnsi="仿宋" w:eastAsia="仿宋"/>
              <w:sz w:val="32"/>
              <w:szCs w:val="32"/>
            </w:rPr>
            <w:ptab w:relativeTo="margin" w:alignment="right" w:leader="dot"/>
          </w:r>
          <w:r>
            <w:rPr>
              <w:rFonts w:hint="eastAsia" w:ascii="仿宋" w:hAnsi="仿宋" w:eastAsia="仿宋"/>
              <w:sz w:val="32"/>
              <w:szCs w:val="32"/>
              <w:lang w:val="en-US" w:eastAsia="zh-CN"/>
            </w:rPr>
            <w:t>6</w:t>
          </w:r>
        </w:p>
        <w:p w14:paraId="2AB30C5E">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lang w:val="en-US" w:eastAsia="zh-CN"/>
            </w:rPr>
          </w:pPr>
          <w:r>
            <w:rPr>
              <w:rFonts w:hint="eastAsia" w:ascii="楷体" w:hAnsi="楷体" w:eastAsia="楷体" w:cs="楷体"/>
              <w:sz w:val="32"/>
              <w:szCs w:val="32"/>
            </w:rPr>
            <w:t>（二）</w:t>
          </w:r>
          <w:r>
            <w:rPr>
              <w:rFonts w:hint="eastAsia" w:ascii="楷体" w:hAnsi="楷体" w:eastAsia="楷体" w:cs="楷体"/>
              <w:spacing w:val="53"/>
              <w:kern w:val="0"/>
              <w:sz w:val="32"/>
              <w:szCs w:val="32"/>
              <w:fitText w:val="1600" w:id="-1275866875"/>
            </w:rPr>
            <w:t>指标设</w:t>
          </w:r>
          <w:r>
            <w:rPr>
              <w:rFonts w:hint="eastAsia" w:ascii="楷体" w:hAnsi="楷体" w:eastAsia="楷体" w:cs="楷体"/>
              <w:spacing w:val="1"/>
              <w:kern w:val="0"/>
              <w:sz w:val="32"/>
              <w:szCs w:val="32"/>
              <w:fitText w:val="1600" w:id="-1275866875"/>
            </w:rPr>
            <w:t>定</w:t>
          </w:r>
          <w:r>
            <w:rPr>
              <w:rFonts w:ascii="仿宋" w:hAnsi="仿宋" w:eastAsia="仿宋"/>
              <w:sz w:val="32"/>
              <w:szCs w:val="32"/>
            </w:rPr>
            <w:ptab w:relativeTo="margin" w:alignment="right" w:leader="dot"/>
          </w:r>
          <w:r>
            <w:rPr>
              <w:rFonts w:hint="eastAsia" w:ascii="仿宋" w:hAnsi="仿宋" w:eastAsia="仿宋"/>
              <w:sz w:val="32"/>
              <w:szCs w:val="32"/>
              <w:lang w:val="en-US" w:eastAsia="zh-CN"/>
            </w:rPr>
            <w:t>7</w:t>
          </w:r>
        </w:p>
        <w:p w14:paraId="58F910EB">
          <w:pPr>
            <w:pStyle w:val="9"/>
            <w:keepNext w:val="0"/>
            <w:keepLines w:val="0"/>
            <w:pageBreakBefore w:val="0"/>
            <w:kinsoku/>
            <w:wordWrap/>
            <w:overflowPunct/>
            <w:topLinePunct w:val="0"/>
            <w:autoSpaceDE/>
            <w:autoSpaceDN/>
            <w:bidi w:val="0"/>
            <w:adjustRightInd/>
            <w:snapToGrid/>
            <w:spacing w:line="560" w:lineRule="exact"/>
            <w:ind w:left="216"/>
            <w:textAlignment w:val="auto"/>
            <w:rPr>
              <w:rFonts w:hint="eastAsia" w:ascii="仿宋" w:hAnsi="仿宋" w:eastAsia="仿宋"/>
              <w:sz w:val="32"/>
              <w:szCs w:val="32"/>
              <w:lang w:val="en-US" w:eastAsia="zh-CN"/>
            </w:rPr>
          </w:pPr>
          <w:r>
            <w:rPr>
              <w:rFonts w:hint="eastAsia" w:ascii="楷体" w:hAnsi="楷体" w:eastAsia="楷体" w:cs="楷体"/>
              <w:sz w:val="32"/>
              <w:szCs w:val="32"/>
            </w:rPr>
            <w:t>（三）</w:t>
          </w:r>
          <w:r>
            <w:rPr>
              <w:rFonts w:hint="eastAsia" w:ascii="楷体" w:hAnsi="楷体" w:eastAsia="楷体" w:cs="楷体"/>
              <w:spacing w:val="53"/>
              <w:kern w:val="0"/>
              <w:sz w:val="32"/>
              <w:szCs w:val="32"/>
              <w:fitText w:val="1600" w:id="-1275866874"/>
            </w:rPr>
            <w:t>组织实</w:t>
          </w:r>
          <w:r>
            <w:rPr>
              <w:rFonts w:hint="eastAsia" w:ascii="楷体" w:hAnsi="楷体" w:eastAsia="楷体" w:cs="楷体"/>
              <w:spacing w:val="1"/>
              <w:kern w:val="0"/>
              <w:sz w:val="32"/>
              <w:szCs w:val="32"/>
              <w:fitText w:val="1600" w:id="-1275866874"/>
            </w:rPr>
            <w:t>施</w:t>
          </w:r>
          <w:r>
            <w:rPr>
              <w:rFonts w:ascii="仿宋" w:hAnsi="仿宋" w:eastAsia="仿宋"/>
              <w:sz w:val="32"/>
              <w:szCs w:val="32"/>
            </w:rPr>
            <w:ptab w:relativeTo="margin" w:alignment="right" w:leader="dot"/>
          </w:r>
          <w:r>
            <w:rPr>
              <w:rFonts w:hint="eastAsia" w:ascii="仿宋" w:hAnsi="仿宋" w:eastAsia="仿宋"/>
              <w:sz w:val="32"/>
              <w:szCs w:val="32"/>
              <w:lang w:val="en-US" w:eastAsia="zh-CN"/>
            </w:rPr>
            <w:t>7</w:t>
          </w:r>
        </w:p>
        <w:p w14:paraId="5A3A8382">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lang w:val="en-US" w:eastAsia="zh-CN"/>
            </w:rPr>
          </w:pPr>
          <w:r>
            <w:rPr>
              <w:rFonts w:hint="eastAsia" w:ascii="黑体" w:hAnsi="黑体" w:eastAsia="黑体" w:cs="黑体"/>
              <w:sz w:val="32"/>
              <w:szCs w:val="32"/>
            </w:rPr>
            <w:t>七、评价附表</w:t>
          </w:r>
          <w:r>
            <w:rPr>
              <w:rFonts w:ascii="仿宋" w:hAnsi="仿宋" w:eastAsia="仿宋"/>
              <w:sz w:val="32"/>
              <w:szCs w:val="32"/>
            </w:rPr>
            <w:ptab w:relativeTo="margin" w:alignment="right" w:leader="dot"/>
          </w:r>
          <w:r>
            <w:rPr>
              <w:rFonts w:hint="eastAsia" w:ascii="仿宋" w:hAnsi="仿宋" w:eastAsia="仿宋"/>
              <w:sz w:val="32"/>
              <w:szCs w:val="32"/>
              <w:lang w:val="en-US" w:eastAsia="zh-CN"/>
            </w:rPr>
            <w:t>9</w:t>
          </w:r>
        </w:p>
        <w:p w14:paraId="13291773">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sz w:val="32"/>
              <w:szCs w:val="32"/>
            </w:rPr>
          </w:pPr>
        </w:p>
        <w:p w14:paraId="65D16493">
          <w:pPr>
            <w:pStyle w:val="9"/>
            <w:keepNext w:val="0"/>
            <w:keepLines w:val="0"/>
            <w:pageBreakBefore w:val="0"/>
            <w:kinsoku/>
            <w:wordWrap/>
            <w:overflowPunct/>
            <w:topLinePunct w:val="0"/>
            <w:autoSpaceDE/>
            <w:autoSpaceDN/>
            <w:bidi w:val="0"/>
            <w:adjustRightInd/>
            <w:snapToGrid/>
            <w:spacing w:line="560" w:lineRule="exact"/>
            <w:ind w:left="216" w:firstLine="440"/>
            <w:textAlignment w:val="auto"/>
          </w:pPr>
        </w:p>
      </w:sdtContent>
    </w:sdt>
    <w:p w14:paraId="4454FF61">
      <w:pPr>
        <w:keepNext w:val="0"/>
        <w:keepLines w:val="0"/>
        <w:pageBreakBefore w:val="0"/>
        <w:kinsoku/>
        <w:wordWrap/>
        <w:overflowPunct/>
        <w:topLinePunct w:val="0"/>
        <w:autoSpaceDE/>
        <w:autoSpaceDN/>
        <w:bidi w:val="0"/>
        <w:adjustRightInd/>
        <w:snapToGrid/>
        <w:spacing w:line="560" w:lineRule="exact"/>
        <w:ind w:firstLine="480" w:firstLineChars="150"/>
        <w:jc w:val="left"/>
        <w:textAlignment w:val="auto"/>
        <w:rPr>
          <w:rFonts w:hint="eastAsia" w:ascii="仿宋" w:hAnsi="仿宋" w:eastAsia="仿宋"/>
          <w:sz w:val="32"/>
          <w:szCs w:val="32"/>
        </w:rPr>
      </w:pPr>
    </w:p>
    <w:p w14:paraId="72566312">
      <w:pPr>
        <w:keepNext w:val="0"/>
        <w:keepLines w:val="0"/>
        <w:pageBreakBefore w:val="0"/>
        <w:kinsoku/>
        <w:wordWrap/>
        <w:overflowPunct/>
        <w:topLinePunct w:val="0"/>
        <w:autoSpaceDE/>
        <w:autoSpaceDN/>
        <w:bidi w:val="0"/>
        <w:adjustRightInd/>
        <w:snapToGrid/>
        <w:spacing w:line="560" w:lineRule="exact"/>
        <w:ind w:firstLine="480" w:firstLineChars="150"/>
        <w:jc w:val="left"/>
        <w:textAlignment w:val="auto"/>
        <w:rPr>
          <w:rFonts w:hint="eastAsia" w:ascii="仿宋" w:hAnsi="仿宋" w:eastAsia="仿宋"/>
          <w:sz w:val="32"/>
          <w:szCs w:val="32"/>
        </w:rPr>
      </w:pPr>
    </w:p>
    <w:p w14:paraId="0D3A2EA7">
      <w:pPr>
        <w:keepNext w:val="0"/>
        <w:keepLines w:val="0"/>
        <w:pageBreakBefore w:val="0"/>
        <w:kinsoku/>
        <w:wordWrap/>
        <w:overflowPunct/>
        <w:topLinePunct w:val="0"/>
        <w:autoSpaceDE/>
        <w:autoSpaceDN/>
        <w:bidi w:val="0"/>
        <w:adjustRightInd/>
        <w:snapToGrid/>
        <w:spacing w:line="560" w:lineRule="exact"/>
        <w:ind w:firstLine="480" w:firstLineChars="150"/>
        <w:jc w:val="left"/>
        <w:textAlignment w:val="auto"/>
        <w:rPr>
          <w:rFonts w:hint="eastAsia" w:ascii="仿宋" w:hAnsi="仿宋" w:eastAsia="仿宋"/>
          <w:sz w:val="32"/>
          <w:szCs w:val="32"/>
        </w:rPr>
      </w:pPr>
    </w:p>
    <w:p w14:paraId="4010F606">
      <w:pPr>
        <w:keepNext w:val="0"/>
        <w:keepLines w:val="0"/>
        <w:pageBreakBefore w:val="0"/>
        <w:widowControl/>
        <w:kinsoku/>
        <w:wordWrap/>
        <w:overflowPunct/>
        <w:topLinePunct w:val="0"/>
        <w:autoSpaceDE/>
        <w:autoSpaceDN/>
        <w:bidi w:val="0"/>
        <w:adjustRightInd/>
        <w:snapToGrid/>
        <w:spacing w:line="560" w:lineRule="exact"/>
        <w:ind w:firstLine="720"/>
        <w:textAlignment w:val="auto"/>
        <w:rPr>
          <w:rFonts w:hint="eastAsia" w:ascii="方正小标宋简体" w:hAnsi="方正小标宋简体" w:eastAsia="方正小标宋简体" w:cs="方正小标宋简体"/>
          <w:color w:val="000000"/>
          <w:kern w:val="0"/>
          <w:sz w:val="36"/>
          <w:szCs w:val="36"/>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3FA2EFEF">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_GBK" w:cs="Times New Roman"/>
          <w:color w:val="auto"/>
          <w:sz w:val="36"/>
          <w:szCs w:val="36"/>
        </w:rPr>
      </w:pPr>
      <w:r>
        <w:rPr>
          <w:rFonts w:hint="eastAsia" w:ascii="Times New Roman" w:hAnsi="Times New Roman" w:eastAsia="方正小标宋_GBK" w:cs="Times New Roman"/>
          <w:color w:val="auto"/>
          <w:sz w:val="36"/>
          <w:szCs w:val="36"/>
        </w:rPr>
        <w:t>2024年度南京市城乡建设委员会</w:t>
      </w:r>
      <w:r>
        <w:rPr>
          <w:rFonts w:ascii="Times New Roman" w:hAnsi="Times New Roman" w:eastAsia="方正小标宋_GBK" w:cs="Times New Roman"/>
          <w:color w:val="auto"/>
          <w:sz w:val="36"/>
          <w:szCs w:val="36"/>
        </w:rPr>
        <w:t>政府采购支持</w:t>
      </w:r>
    </w:p>
    <w:p w14:paraId="09853611">
      <w:pPr>
        <w:keepNext w:val="0"/>
        <w:keepLines w:val="0"/>
        <w:pageBreakBefore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_GBK" w:cs="Times New Roman"/>
          <w:color w:val="auto"/>
          <w:sz w:val="36"/>
          <w:szCs w:val="36"/>
        </w:rPr>
      </w:pPr>
      <w:r>
        <w:rPr>
          <w:rFonts w:ascii="Times New Roman" w:hAnsi="Times New Roman" w:eastAsia="方正小标宋_GBK" w:cs="Times New Roman"/>
          <w:color w:val="auto"/>
          <w:sz w:val="36"/>
          <w:szCs w:val="36"/>
        </w:rPr>
        <w:t>绿色建材</w:t>
      </w:r>
      <w:r>
        <w:rPr>
          <w:rFonts w:hint="eastAsia" w:ascii="Times New Roman" w:hAnsi="Times New Roman" w:eastAsia="方正小标宋_GBK" w:cs="Times New Roman"/>
          <w:color w:val="auto"/>
          <w:sz w:val="36"/>
          <w:szCs w:val="36"/>
        </w:rPr>
        <w:t>工作</w:t>
      </w:r>
      <w:r>
        <w:rPr>
          <w:rFonts w:ascii="Times New Roman" w:hAnsi="Times New Roman" w:eastAsia="方正小标宋_GBK" w:cs="Times New Roman"/>
          <w:color w:val="auto"/>
          <w:sz w:val="36"/>
          <w:szCs w:val="36"/>
        </w:rPr>
        <w:t>专项资金绩效评价报告</w:t>
      </w:r>
    </w:p>
    <w:p w14:paraId="76A38154">
      <w:pPr>
        <w:keepNext w:val="0"/>
        <w:keepLines w:val="0"/>
        <w:pageBreakBefore w:val="0"/>
        <w:kinsoku/>
        <w:wordWrap/>
        <w:overflowPunct/>
        <w:topLinePunct w:val="0"/>
        <w:autoSpaceDE/>
        <w:autoSpaceDN/>
        <w:bidi w:val="0"/>
        <w:adjustRightInd/>
        <w:snapToGrid/>
        <w:spacing w:line="600" w:lineRule="exact"/>
        <w:ind w:firstLine="200"/>
        <w:jc w:val="center"/>
        <w:textAlignment w:val="auto"/>
        <w:rPr>
          <w:rFonts w:ascii="Times New Roman" w:hAnsi="Times New Roman" w:eastAsia="宋体" w:cs="Times New Roman"/>
          <w:color w:val="auto"/>
          <w:sz w:val="10"/>
          <w:szCs w:val="10"/>
        </w:rPr>
      </w:pPr>
    </w:p>
    <w:p w14:paraId="5A577032">
      <w:pPr>
        <w:spacing w:line="560" w:lineRule="exact"/>
        <w:ind w:firstLine="640"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为进一步提高预算透明度，深入推进预算绩效信息公开工作，增进财政资金使用效率及效益，现对2024年政府采购支持绿色建材</w:t>
      </w:r>
      <w:r>
        <w:rPr>
          <w:rFonts w:hint="eastAsia" w:ascii="Times New Roman" w:hAnsi="Times New Roman" w:eastAsia="方正仿宋_GBK" w:cs="Times New Roman"/>
          <w:color w:val="000000" w:themeColor="text1"/>
          <w:sz w:val="32"/>
          <w:szCs w:val="32"/>
          <w14:textFill>
            <w14:solidFill>
              <w14:schemeClr w14:val="tx1"/>
            </w14:solidFill>
          </w14:textFill>
        </w:rPr>
        <w:t>工作</w:t>
      </w:r>
      <w:r>
        <w:rPr>
          <w:rFonts w:ascii="Times New Roman" w:hAnsi="Times New Roman" w:eastAsia="方正仿宋_GBK" w:cs="Times New Roman"/>
          <w:color w:val="000000" w:themeColor="text1"/>
          <w:sz w:val="32"/>
          <w:szCs w:val="32"/>
          <w14:textFill>
            <w14:solidFill>
              <w14:schemeClr w14:val="tx1"/>
            </w14:solidFill>
          </w14:textFill>
        </w:rPr>
        <w:t>专项资金开展绩效评价工作。具体情况如下：</w:t>
      </w:r>
    </w:p>
    <w:p w14:paraId="3FD131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kern w:val="0"/>
          <w:sz w:val="32"/>
          <w:szCs w:val="32"/>
        </w:rPr>
        <w:t xml:space="preserve">一、项目概况 </w:t>
      </w:r>
    </w:p>
    <w:p w14:paraId="0BED72D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（一）项目基本情况</w:t>
      </w:r>
    </w:p>
    <w:p w14:paraId="6D94A26E">
      <w:pPr>
        <w:spacing w:line="560" w:lineRule="exact"/>
        <w:ind w:firstLine="640" w:firstLineChars="200"/>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2023年，南京市财政局、市城乡建设委员会、市工业和信息化局印发《南京市政府采购支持绿色建材促进建筑品质提升工作实施方案》，在前期试点工作的基础上，进一步加大政府采购力度，扩大</w:t>
      </w:r>
      <w:r>
        <w:rPr>
          <w:rFonts w:hint="eastAsia" w:ascii="Times New Roman" w:hAnsi="Times New Roman" w:eastAsia="方正仿宋_GBK" w:cs="Times New Roman"/>
          <w:color w:val="000000" w:themeColor="text1"/>
          <w:sz w:val="32"/>
          <w:szCs w:val="32"/>
          <w14:textFill>
            <w14:solidFill>
              <w14:schemeClr w14:val="tx1"/>
            </w14:solidFill>
          </w14:textFill>
        </w:rPr>
        <w:t>政策实施覆盖范围，全面推广绿色建筑和绿色建材。力争到2025年，政策实施范围内新建项目全面按二星级以上绿色建筑标准设计建造，绿色建材应用比例达到40%以上。2024年</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14:textFill>
            <w14:solidFill>
              <w14:schemeClr w14:val="tx1"/>
            </w14:solidFill>
          </w14:textFill>
        </w:rPr>
        <w:t>南京市在前期试点工作的基础上，进一步做好绿色建材推广应用工作，开展形式多样的宣传推广活动，推进绿色建材产品认证标准建设，成立南京市建筑碳排放测算专班工作组，对多个项目开展绿色建材减碳量测算及建筑碳足迹测算工作，开展《南京市建筑领域碳足迹管理体系建立与测算》课题研究，以南京市建筑领域碳足迹管理体系为研究对象，搭建了南京市建筑碳足迹管理体系理论框架，初步建立了建筑碳足迹数据库</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助力“双碳”工作。</w:t>
      </w:r>
    </w:p>
    <w:p w14:paraId="38CC323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kern w:val="0"/>
          <w:sz w:val="32"/>
          <w:szCs w:val="32"/>
        </w:rPr>
        <w:t xml:space="preserve">（二）项目资金情况 </w:t>
      </w:r>
    </w:p>
    <w:p w14:paraId="09DD83EB">
      <w:pPr>
        <w:spacing w:line="560" w:lineRule="exact"/>
        <w:ind w:firstLine="640" w:firstLineChars="200"/>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 xml:space="preserve">2024年政府采购支持绿色建材工作专项资金预算金额  </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290</w:t>
      </w:r>
      <w:r>
        <w:rPr>
          <w:rFonts w:hint="eastAsia" w:ascii="Times New Roman" w:hAnsi="Times New Roman" w:eastAsia="方正仿宋_GBK" w:cs="Times New Roman"/>
          <w:color w:val="000000" w:themeColor="text1"/>
          <w:sz w:val="32"/>
          <w:szCs w:val="32"/>
          <w14:textFill>
            <w14:solidFill>
              <w14:schemeClr w14:val="tx1"/>
            </w14:solidFill>
          </w14:textFill>
        </w:rPr>
        <w:t>万元，实际拨付</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使用52.68</w:t>
      </w:r>
      <w:r>
        <w:rPr>
          <w:rFonts w:hint="eastAsia" w:ascii="Times New Roman" w:hAnsi="Times New Roman" w:eastAsia="方正仿宋_GBK" w:cs="Times New Roman"/>
          <w:color w:val="000000" w:themeColor="text1"/>
          <w:sz w:val="32"/>
          <w:szCs w:val="32"/>
          <w14:textFill>
            <w14:solidFill>
              <w14:schemeClr w14:val="tx1"/>
            </w14:solidFill>
          </w14:textFill>
        </w:rPr>
        <w:t>万元，预算执行率</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18.17</w:t>
      </w:r>
      <w:r>
        <w:rPr>
          <w:rFonts w:hint="eastAsia" w:ascii="Times New Roman" w:hAnsi="Times New Roman" w:eastAsia="方正仿宋_GBK" w:cs="Times New Roman"/>
          <w:color w:val="000000" w:themeColor="text1"/>
          <w:sz w:val="32"/>
          <w:szCs w:val="32"/>
          <w14:textFill>
            <w14:solidFill>
              <w14:schemeClr w14:val="tx1"/>
            </w14:solidFill>
          </w14:textFill>
        </w:rPr>
        <w:t xml:space="preserve"> %。其中配套课题研究费用</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18.5</w:t>
      </w:r>
      <w:r>
        <w:rPr>
          <w:rFonts w:hint="eastAsia" w:ascii="Times New Roman" w:hAnsi="Times New Roman" w:eastAsia="方正仿宋_GBK" w:cs="Times New Roman"/>
          <w:color w:val="000000" w:themeColor="text1"/>
          <w:sz w:val="32"/>
          <w:szCs w:val="32"/>
          <w14:textFill>
            <w14:solidFill>
              <w14:schemeClr w14:val="tx1"/>
            </w14:solidFill>
          </w14:textFill>
        </w:rPr>
        <w:t>万元，绿色建材入库软件功能深化、运行及维护费用33.3万元，绿色建材宣传会议及调研费用</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0.88</w:t>
      </w:r>
      <w:r>
        <w:rPr>
          <w:rFonts w:hint="eastAsia" w:ascii="Times New Roman" w:hAnsi="Times New Roman" w:eastAsia="方正仿宋_GBK" w:cs="Times New Roman"/>
          <w:color w:val="000000" w:themeColor="text1"/>
          <w:sz w:val="32"/>
          <w:szCs w:val="32"/>
          <w14:textFill>
            <w14:solidFill>
              <w14:schemeClr w14:val="tx1"/>
            </w14:solidFill>
          </w14:textFill>
        </w:rPr>
        <w:t>万元</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p>
    <w:p w14:paraId="14128BE5">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 xml:space="preserve">（三）绩效目标 </w:t>
      </w:r>
    </w:p>
    <w:p w14:paraId="2C83CB5D">
      <w:pPr>
        <w:spacing w:line="560" w:lineRule="exact"/>
        <w:ind w:firstLine="640" w:firstLineChars="200"/>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年度目标：完成1个课题研究，组织不少于1场专题培训，加强2个信息系统建设，落实对不少于5个绿色建材试点项目绿色建材应用比例核算工作，促进不少于10家企业绿色低碳转型。细化和完善南京市绿色建材应用比例测算，促进建材企业绿色低碳转型，加强绿色建材碳排放评估体系建设，加大绿色建材宣传培训力度，提高社会认知度。</w:t>
      </w:r>
    </w:p>
    <w:p w14:paraId="76BD8280">
      <w:pPr>
        <w:spacing w:line="560" w:lineRule="exact"/>
        <w:ind w:firstLine="640" w:firstLineChars="200"/>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中长期目标：建立健全政策实施范围的建设工程项目应用绿色建材的全流程管理机制，培育绿色建材应用示范工程和高品质绿色建筑项目，提升绿色建材在绿色建筑中的应用比例，加快绿色建材推广应用。</w:t>
      </w:r>
    </w:p>
    <w:p w14:paraId="172D8FAF">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kern w:val="0"/>
          <w:sz w:val="32"/>
          <w:szCs w:val="32"/>
        </w:rPr>
        <w:t>二、评价结论</w:t>
      </w:r>
    </w:p>
    <w:p w14:paraId="68103869">
      <w:pPr>
        <w:spacing w:line="560" w:lineRule="exact"/>
        <w:ind w:firstLine="640" w:firstLineChars="200"/>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对2024年政府采购支持绿色建材工作专项资金的预算编制、预算执行、管理过程、项目绩效等情况，通过资料收集、整理数据、分析汇总，打分并形成评价结论。经评价，本项目绩效评价得分</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95.55</w:t>
      </w:r>
      <w:r>
        <w:rPr>
          <w:rFonts w:hint="eastAsia" w:ascii="Times New Roman" w:hAnsi="Times New Roman" w:eastAsia="方正仿宋_GBK" w:cs="Times New Roman"/>
          <w:color w:val="000000" w:themeColor="text1"/>
          <w:sz w:val="32"/>
          <w:szCs w:val="32"/>
          <w14:textFill>
            <w14:solidFill>
              <w14:schemeClr w14:val="tx1"/>
            </w14:solidFill>
          </w14:textFill>
        </w:rPr>
        <w:t>分，等级为</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优</w:t>
      </w:r>
      <w:r>
        <w:rPr>
          <w:rFonts w:hint="eastAsia" w:ascii="Times New Roman" w:hAnsi="Times New Roman" w:eastAsia="方正仿宋_GBK" w:cs="Times New Roman"/>
          <w:color w:val="000000" w:themeColor="text1"/>
          <w:sz w:val="32"/>
          <w:szCs w:val="32"/>
          <w14:textFill>
            <w14:solidFill>
              <w14:schemeClr w14:val="tx1"/>
            </w14:solidFill>
          </w14:textFill>
        </w:rPr>
        <w:t>。《2024年政府采购支持绿色建材工作专项资金绩效综合评分表》见附件。</w:t>
      </w:r>
    </w:p>
    <w:p w14:paraId="3E3467D7">
      <w:pPr>
        <w:spacing w:line="560" w:lineRule="exact"/>
        <w:ind w:firstLine="640" w:firstLineChars="200"/>
        <w:rPr>
          <w:rFonts w:hint="eastAsia" w:ascii="Times New Roman" w:hAnsi="Times New Roman" w:eastAsia="方正仿宋_GBK" w:cs="Times New Roman"/>
          <w:color w:val="000000" w:themeColor="text1"/>
          <w:sz w:val="32"/>
          <w:szCs w:val="32"/>
          <w:lang w:eastAsia="zh-CN"/>
          <w14:textFill>
            <w14:solidFill>
              <w14:schemeClr w14:val="tx1"/>
            </w14:solidFill>
          </w14:textFill>
        </w:rPr>
      </w:pPr>
      <w:r>
        <w:rPr>
          <w:rFonts w:hint="eastAsia" w:ascii="Times New Roman" w:hAnsi="Times New Roman" w:eastAsia="方正仿宋_GBK" w:cs="Times New Roman"/>
          <w:color w:val="000000" w:themeColor="text1"/>
          <w:sz w:val="32"/>
          <w:szCs w:val="32"/>
          <w14:textFill>
            <w14:solidFill>
              <w14:schemeClr w14:val="tx1"/>
            </w14:solidFill>
          </w14:textFill>
        </w:rPr>
        <w:t>2024年政府采购支持绿色建材工作专项资金项目立项程序规范，组织实施手续完备，工作任务基本完成，取得较好的成效，主要体现在：构建“政策宣贯-标准引领-碳</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排放测算研究</w:t>
      </w:r>
      <w:r>
        <w:rPr>
          <w:rFonts w:hint="eastAsia" w:ascii="Times New Roman" w:hAnsi="Times New Roman" w:eastAsia="方正仿宋_GBK" w:cs="Times New Roman"/>
          <w:color w:val="000000" w:themeColor="text1"/>
          <w:sz w:val="32"/>
          <w:szCs w:val="32"/>
          <w14:textFill>
            <w14:solidFill>
              <w14:schemeClr w14:val="tx1"/>
            </w14:solidFill>
          </w14:textFill>
        </w:rPr>
        <w:t>”协同体系，初步形成绿色建材推广长效机制。</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多形式开展绿色建材宣传推广，并对部分绿色建筑项目开展现场服务工作</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推</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进政策落地；</w:t>
      </w:r>
      <w:r>
        <w:rPr>
          <w:rFonts w:hint="eastAsia" w:ascii="Times New Roman" w:hAnsi="Times New Roman" w:eastAsia="方正仿宋_GBK" w:cs="Times New Roman"/>
          <w:color w:val="000000" w:themeColor="text1"/>
          <w:sz w:val="32"/>
          <w:szCs w:val="32"/>
          <w14:textFill>
            <w14:solidFill>
              <w14:schemeClr w14:val="tx1"/>
            </w14:solidFill>
          </w14:textFill>
        </w:rPr>
        <w:t>推进绿色建材产品认证标准建设</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，完善技术标准体系；</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开展绿色建材减碳分析和</w:t>
      </w:r>
      <w:r>
        <w:rPr>
          <w:rFonts w:hint="eastAsia" w:ascii="Times New Roman" w:hAnsi="Times New Roman" w:eastAsia="方正仿宋_GBK" w:cs="Times New Roman"/>
          <w:color w:val="000000" w:themeColor="text1"/>
          <w:sz w:val="32"/>
          <w:szCs w:val="32"/>
          <w14:textFill>
            <w14:solidFill>
              <w14:schemeClr w14:val="tx1"/>
            </w14:solidFill>
          </w14:textFill>
        </w:rPr>
        <w:t>建筑碳排放测算研究工作</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，初步</w:t>
      </w:r>
      <w:r>
        <w:rPr>
          <w:rFonts w:hint="eastAsia" w:ascii="Times New Roman" w:hAnsi="Times New Roman" w:eastAsia="方正仿宋_GBK" w:cs="Times New Roman"/>
          <w:color w:val="000000" w:themeColor="text1"/>
          <w:sz w:val="32"/>
          <w:szCs w:val="32"/>
          <w14:textFill>
            <w14:solidFill>
              <w14:schemeClr w14:val="tx1"/>
            </w14:solidFill>
          </w14:textFill>
        </w:rPr>
        <w:t>搭建南京市建筑碳足迹管理体系理论框架</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，为政策实施提供科学支撑。</w:t>
      </w:r>
      <w:r>
        <w:rPr>
          <w:rFonts w:hint="eastAsia" w:ascii="Times New Roman" w:hAnsi="Times New Roman" w:eastAsia="方正仿宋_GBK" w:cs="Times New Roman"/>
          <w:color w:val="000000" w:themeColor="text1"/>
          <w:sz w:val="32"/>
          <w:szCs w:val="32"/>
          <w14:textFill>
            <w14:solidFill>
              <w14:schemeClr w14:val="tx1"/>
            </w14:solidFill>
          </w14:textFill>
        </w:rPr>
        <w:t>工作过程中也存在不足，如：预算执行率</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偏低</w:t>
      </w:r>
      <w:r>
        <w:rPr>
          <w:rFonts w:hint="eastAsia" w:ascii="Times New Roman" w:hAnsi="Times New Roman" w:eastAsia="方正仿宋_GBK" w:cs="Times New Roman"/>
          <w:color w:val="000000" w:themeColor="text1"/>
          <w:sz w:val="32"/>
          <w:szCs w:val="32"/>
          <w14:textFill>
            <w14:solidFill>
              <w14:schemeClr w14:val="tx1"/>
            </w14:solidFill>
          </w14:textFill>
        </w:rPr>
        <w:t>，部门协作与计划管理</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存在疏漏</w:t>
      </w:r>
      <w:r>
        <w:rPr>
          <w:rFonts w:hint="eastAsia" w:ascii="Times New Roman" w:hAnsi="Times New Roman" w:eastAsia="方正仿宋_GBK" w:cs="Times New Roman"/>
          <w:color w:val="000000" w:themeColor="text1"/>
          <w:sz w:val="32"/>
          <w:szCs w:val="32"/>
          <w14:textFill>
            <w14:solidFill>
              <w14:schemeClr w14:val="tx1"/>
            </w14:solidFill>
          </w14:textFill>
        </w:rPr>
        <w:t>；绿色建材全流程采购管理机制缺位，未建立统一采购平台，应用数据统计困难；碳</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排放</w:t>
      </w:r>
      <w:r>
        <w:rPr>
          <w:rFonts w:hint="eastAsia" w:ascii="Times New Roman" w:hAnsi="Times New Roman" w:eastAsia="方正仿宋_GBK" w:cs="Times New Roman"/>
          <w:color w:val="000000" w:themeColor="text1"/>
          <w:sz w:val="32"/>
          <w:szCs w:val="32"/>
          <w14:textFill>
            <w14:solidFill>
              <w14:schemeClr w14:val="tx1"/>
            </w14:solidFill>
          </w14:textFill>
        </w:rPr>
        <w:t>测算样本</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缺乏多样性</w:t>
      </w:r>
      <w:r>
        <w:rPr>
          <w:rFonts w:hint="eastAsia" w:ascii="Times New Roman" w:hAnsi="Times New Roman" w:eastAsia="方正仿宋_GBK" w:cs="Times New Roman"/>
          <w:color w:val="000000" w:themeColor="text1"/>
          <w:sz w:val="32"/>
          <w:szCs w:val="32"/>
          <w14:textFill>
            <w14:solidFill>
              <w14:schemeClr w14:val="tx1"/>
            </w14:solidFill>
          </w14:textFill>
        </w:rPr>
        <w:t>，</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建筑全生命周期</w:t>
      </w:r>
      <w:r>
        <w:rPr>
          <w:rFonts w:hint="eastAsia" w:ascii="Times New Roman" w:hAnsi="Times New Roman" w:eastAsia="方正仿宋_GBK" w:cs="Times New Roman"/>
          <w:color w:val="000000" w:themeColor="text1"/>
          <w:sz w:val="32"/>
          <w:szCs w:val="32"/>
          <w14:textFill>
            <w14:solidFill>
              <w14:schemeClr w14:val="tx1"/>
            </w14:solidFill>
          </w14:textFill>
        </w:rPr>
        <w:t>数据采集覆盖率</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偏低</w:t>
      </w:r>
      <w:r>
        <w:rPr>
          <w:rFonts w:hint="eastAsia" w:ascii="Times New Roman" w:hAnsi="Times New Roman" w:eastAsia="方正仿宋_GBK" w:cs="Times New Roman"/>
          <w:color w:val="000000" w:themeColor="text1"/>
          <w:sz w:val="32"/>
          <w:szCs w:val="32"/>
          <w14:textFill>
            <w14:solidFill>
              <w14:schemeClr w14:val="tx1"/>
            </w14:solidFill>
          </w14:textFill>
        </w:rPr>
        <w:t>；跨部门联合宣传活动尚未开展，</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项目主体采购绿色建材意识不强</w:t>
      </w:r>
      <w:r>
        <w:rPr>
          <w:rFonts w:hint="eastAsia" w:ascii="Times New Roman" w:hAnsi="Times New Roman" w:eastAsia="方正仿宋_GBK" w:cs="Times New Roman"/>
          <w:color w:val="000000" w:themeColor="text1"/>
          <w:sz w:val="32"/>
          <w:szCs w:val="32"/>
          <w14:textFill>
            <w14:solidFill>
              <w14:schemeClr w14:val="tx1"/>
            </w14:solidFill>
          </w14:textFill>
        </w:rPr>
        <w:t>，制约政策实施效能。</w:t>
      </w:r>
    </w:p>
    <w:p w14:paraId="439FD39E">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三、项目成效</w:t>
      </w:r>
    </w:p>
    <w:p w14:paraId="196E01E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Times New Roman" w:hAnsi="Times New Roman" w:eastAsia="楷体" w:cs="Times New Roman"/>
          <w:color w:val="auto"/>
          <w:sz w:val="32"/>
          <w:szCs w:val="32"/>
          <w:lang w:eastAsia="zh-CN"/>
        </w:rPr>
        <w:t>（</w:t>
      </w:r>
      <w:r>
        <w:rPr>
          <w:rFonts w:ascii="Times New Roman" w:hAnsi="Times New Roman" w:eastAsia="楷体" w:cs="Times New Roman"/>
          <w:color w:val="auto"/>
          <w:sz w:val="32"/>
          <w:szCs w:val="32"/>
        </w:rPr>
        <w:t>一）</w:t>
      </w:r>
      <w:r>
        <w:rPr>
          <w:rFonts w:hint="eastAsia" w:ascii="Times New Roman" w:hAnsi="Times New Roman" w:eastAsia="楷体" w:cs="Times New Roman"/>
          <w:color w:val="auto"/>
          <w:sz w:val="32"/>
          <w:szCs w:val="32"/>
          <w:lang w:val="en-US" w:eastAsia="zh-CN"/>
        </w:rPr>
        <w:t>开展多形式绿</w:t>
      </w:r>
      <w:r>
        <w:rPr>
          <w:rFonts w:ascii="Times New Roman" w:hAnsi="Times New Roman" w:eastAsia="楷体" w:cs="Times New Roman"/>
          <w:color w:val="auto"/>
          <w:sz w:val="32"/>
          <w:szCs w:val="32"/>
        </w:rPr>
        <w:t>色建材推广工作。</w:t>
      </w:r>
      <w:r>
        <w:rPr>
          <w:rFonts w:hint="eastAsia" w:ascii="Times New Roman" w:hAnsi="Times New Roman" w:eastAsia="方正仿宋_GBK" w:cs="Times New Roman"/>
          <w:color w:val="000000" w:themeColor="text1"/>
          <w:sz w:val="32"/>
          <w:szCs w:val="32"/>
          <w14:textFill>
            <w14:solidFill>
              <w14:schemeClr w14:val="tx1"/>
            </w14:solidFill>
          </w14:textFill>
        </w:rPr>
        <w:t>开展绿色建材主题科普活动、绿色建筑系列主题沙龙等8场宣传推广活动；对法治园区南京海事法院、东南大学九龙湖校区兰园宿舍、所街公交场站等6个绿色建筑项目开展现场服务，加强绿色建材政策宣贯。</w:t>
      </w:r>
    </w:p>
    <w:p w14:paraId="302F1E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楷体" w:cs="Times New Roman"/>
          <w:color w:val="auto"/>
          <w:sz w:val="32"/>
          <w:szCs w:val="32"/>
        </w:rPr>
        <w:t>（二）推进绿色建材产品认证标准建设。</w:t>
      </w:r>
      <w:r>
        <w:rPr>
          <w:rFonts w:hint="eastAsia" w:ascii="Times New Roman" w:hAnsi="Times New Roman" w:eastAsia="方正仿宋_GBK" w:cs="Times New Roman"/>
          <w:color w:val="000000" w:themeColor="text1"/>
          <w:sz w:val="32"/>
          <w:szCs w:val="32"/>
          <w14:textFill>
            <w14:solidFill>
              <w14:schemeClr w14:val="tx1"/>
            </w14:solidFill>
          </w14:textFill>
        </w:rPr>
        <w:t>完成《绿色建材评价 不锈钢给排水管材管件》两次专家评审工作，召开《绿色建材评价 纳米微球水性浆料》《纳米微球水性浆料》《3D打印混凝土文旅建筑技术规程》3个认证标准编制启动会。</w:t>
      </w:r>
    </w:p>
    <w:p w14:paraId="01D0D4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楷体" w:hAnsi="楷体" w:eastAsia="楷体" w:cs="楷体"/>
          <w:color w:val="auto"/>
          <w:sz w:val="32"/>
          <w:szCs w:val="32"/>
        </w:rPr>
        <w:t>（三）开展绿色建材减碳分析和</w:t>
      </w:r>
      <w:r>
        <w:rPr>
          <w:rFonts w:ascii="楷体" w:hAnsi="楷体" w:eastAsia="楷体" w:cs="楷体"/>
          <w:color w:val="auto"/>
          <w:sz w:val="32"/>
          <w:szCs w:val="32"/>
        </w:rPr>
        <w:t>建筑碳排放测算研究</w:t>
      </w:r>
      <w:r>
        <w:rPr>
          <w:rFonts w:hint="eastAsia" w:ascii="楷体" w:hAnsi="楷体" w:eastAsia="楷体" w:cs="楷体"/>
          <w:color w:val="auto"/>
          <w:sz w:val="32"/>
          <w:szCs w:val="32"/>
        </w:rPr>
        <w:t>工</w:t>
      </w:r>
      <w:r>
        <w:rPr>
          <w:rFonts w:ascii="Times New Roman" w:hAnsi="Times New Roman" w:eastAsia="楷体" w:cs="Times New Roman"/>
          <w:color w:val="auto"/>
          <w:sz w:val="32"/>
          <w:szCs w:val="32"/>
        </w:rPr>
        <w:t>作。</w:t>
      </w:r>
      <w:r>
        <w:rPr>
          <w:rFonts w:hint="eastAsia" w:ascii="Times New Roman" w:hAnsi="Times New Roman" w:eastAsia="方正仿宋_GBK" w:cs="Times New Roman"/>
          <w:color w:val="000000" w:themeColor="text1"/>
          <w:sz w:val="32"/>
          <w:szCs w:val="32"/>
          <w14:textFill>
            <w14:solidFill>
              <w14:schemeClr w14:val="tx1"/>
            </w14:solidFill>
          </w14:textFill>
        </w:rPr>
        <w:t>深化校地合作，成立南京市建筑碳排放测算专班工作组，明确工作分工部署，对江苏省建科院红山科研办公楼等</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5</w:t>
      </w:r>
      <w:r>
        <w:rPr>
          <w:rFonts w:hint="eastAsia" w:ascii="Times New Roman" w:hAnsi="Times New Roman" w:eastAsia="方正仿宋_GBK" w:cs="Times New Roman"/>
          <w:color w:val="000000" w:themeColor="text1"/>
          <w:sz w:val="32"/>
          <w:szCs w:val="32"/>
          <w14:textFill>
            <w14:solidFill>
              <w14:schemeClr w14:val="tx1"/>
            </w14:solidFill>
          </w14:textFill>
        </w:rPr>
        <w:t>个项目开展建筑碳足迹与绿色建材减碳量测算工作；落实《南京市建筑领域碳足迹管理体系建立与测算》课题研究，搭建南京市建筑碳足迹管理体系理论框架，形成《南京市建筑领域碳足迹管理体系设计方案研究报告》《南京市建筑领域碳足迹管理机制政策建议》，初步建立了</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南京市</w:t>
      </w:r>
      <w:r>
        <w:rPr>
          <w:rFonts w:hint="eastAsia" w:ascii="Times New Roman" w:hAnsi="Times New Roman" w:eastAsia="方正仿宋_GBK" w:cs="Times New Roman"/>
          <w:color w:val="000000" w:themeColor="text1"/>
          <w:sz w:val="32"/>
          <w:szCs w:val="32"/>
          <w14:textFill>
            <w14:solidFill>
              <w14:schemeClr w14:val="tx1"/>
            </w14:solidFill>
          </w14:textFill>
        </w:rPr>
        <w:t>建筑碳足迹数据库。</w:t>
      </w:r>
    </w:p>
    <w:p w14:paraId="156C03C0">
      <w:pPr>
        <w:pStyle w:val="17"/>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四、存在问题及原因分析</w:t>
      </w:r>
    </w:p>
    <w:p w14:paraId="13660C7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sz w:val="32"/>
          <w:szCs w:val="32"/>
          <w14:textFill>
            <w14:solidFill>
              <w14:schemeClr w14:val="tx1"/>
            </w14:solidFill>
          </w14:textFill>
        </w:rPr>
      </w:pPr>
      <w:r>
        <w:rPr>
          <w:rFonts w:hint="eastAsia" w:ascii="楷体" w:hAnsi="楷体" w:eastAsia="楷体" w:cs="楷体"/>
          <w:color w:val="auto"/>
          <w:sz w:val="32"/>
          <w:szCs w:val="32"/>
        </w:rPr>
        <w:t>（一）预算执行率偏低。</w:t>
      </w:r>
      <w:r>
        <w:rPr>
          <w:rFonts w:hint="eastAsia" w:ascii="Times New Roman" w:hAnsi="Times New Roman" w:eastAsia="方正仿宋_GBK" w:cs="Times New Roman"/>
          <w:color w:val="000000" w:themeColor="text1"/>
          <w:sz w:val="32"/>
          <w:szCs w:val="32"/>
          <w14:textFill>
            <w14:solidFill>
              <w14:schemeClr w14:val="tx1"/>
            </w14:solidFill>
          </w14:textFill>
        </w:rPr>
        <w:t>2024年计划绿色建材高占比项目及绿色建材认证企业奖补费用200万元，实际</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执行</w:t>
      </w:r>
      <w:r>
        <w:rPr>
          <w:rFonts w:hint="eastAsia" w:ascii="Times New Roman" w:hAnsi="Times New Roman" w:eastAsia="方正仿宋_GBK" w:cs="Times New Roman"/>
          <w:color w:val="000000" w:themeColor="text1"/>
          <w:sz w:val="32"/>
          <w:szCs w:val="32"/>
          <w14:textFill>
            <w14:solidFill>
              <w14:schemeClr w14:val="tx1"/>
            </w14:solidFill>
          </w14:textFill>
        </w:rPr>
        <w:t>为0元。主要原因在于</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预算申报阶段与相关上级部门沟通考虑在前期试点工作的基础上延续相关政策，但最终南京市三部门发布的《南京市</w:t>
      </w:r>
      <w:r>
        <w:rPr>
          <w:rFonts w:hint="eastAsia" w:ascii="Times New Roman" w:hAnsi="Times New Roman" w:eastAsia="方正仿宋_GBK" w:cs="Times New Roman"/>
          <w:color w:val="000000" w:themeColor="text1"/>
          <w:sz w:val="32"/>
          <w:szCs w:val="32"/>
          <w14:textFill>
            <w14:solidFill>
              <w14:schemeClr w14:val="tx1"/>
            </w14:solidFill>
          </w14:textFill>
        </w:rPr>
        <w:t>政府采购支持绿色建材促进建筑品质提升工作实施方案</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》中未明确绿色建材应用项目奖补政策；扶持绿色建材产业，推进企业开展绿色建材认证相关工作为工信部门职责，由工信部门研究激励扶持政策。中心无相关依据，</w:t>
      </w:r>
      <w:r>
        <w:rPr>
          <w:rFonts w:hint="eastAsia" w:ascii="Times New Roman" w:hAnsi="Times New Roman" w:eastAsia="方正仿宋_GBK" w:cs="Times New Roman"/>
          <w:color w:val="000000" w:themeColor="text1"/>
          <w:sz w:val="32"/>
          <w:szCs w:val="32"/>
          <w14:textFill>
            <w14:solidFill>
              <w14:schemeClr w14:val="tx1"/>
            </w14:solidFill>
          </w14:textFill>
        </w:rPr>
        <w:t>故</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未落实</w:t>
      </w:r>
      <w:r>
        <w:rPr>
          <w:rFonts w:hint="eastAsia" w:ascii="Times New Roman" w:hAnsi="Times New Roman" w:eastAsia="方正仿宋_GBK" w:cs="Times New Roman"/>
          <w:color w:val="000000" w:themeColor="text1"/>
          <w:sz w:val="32"/>
          <w:szCs w:val="32"/>
          <w14:textFill>
            <w14:solidFill>
              <w14:schemeClr w14:val="tx1"/>
            </w14:solidFill>
          </w14:textFill>
        </w:rPr>
        <w:t>项目</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资金使用</w:t>
      </w:r>
      <w:r>
        <w:rPr>
          <w:rFonts w:hint="eastAsia" w:ascii="Times New Roman" w:hAnsi="Times New Roman" w:eastAsia="方正仿宋_GBK" w:cs="Times New Roman"/>
          <w:color w:val="000000" w:themeColor="text1"/>
          <w:sz w:val="32"/>
          <w:szCs w:val="32"/>
          <w14:textFill>
            <w14:solidFill>
              <w14:schemeClr w14:val="tx1"/>
            </w14:solidFill>
          </w14:textFill>
        </w:rPr>
        <w:t>。</w:t>
      </w:r>
    </w:p>
    <w:p w14:paraId="38F77C74">
      <w:pPr>
        <w:pStyle w:val="17"/>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sz w:val="32"/>
          <w:szCs w:val="32"/>
        </w:rPr>
        <w:t>（二）政策实施范围内的项目管理缺乏体系。</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未构建政策项目统一政府采购管理平台。项目政策要求不明晰，绿色建材采购管理全流程机制未建立，供需两端对接无门，采购量和采购金额无从统计。</w:t>
      </w:r>
    </w:p>
    <w:p w14:paraId="2874B45C">
      <w:pPr>
        <w:pStyle w:val="17"/>
        <w:keepNext w:val="0"/>
        <w:keepLines w:val="0"/>
        <w:pageBreakBefore w:val="0"/>
        <w:kinsoku/>
        <w:wordWrap/>
        <w:overflowPunct/>
        <w:topLinePunct w:val="0"/>
        <w:autoSpaceDE/>
        <w:autoSpaceDN/>
        <w:bidi w:val="0"/>
        <w:adjustRightInd/>
        <w:snapToGrid/>
        <w:spacing w:line="560" w:lineRule="exact"/>
        <w:ind w:firstLine="707" w:firstLineChars="221"/>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sz w:val="32"/>
          <w:szCs w:val="32"/>
        </w:rPr>
        <w:t>（三）碳排放测算研究基础仍需夯实</w:t>
      </w:r>
      <w:r>
        <w:rPr>
          <w:rFonts w:hint="eastAsia" w:ascii="仿宋" w:hAnsi="仿宋" w:eastAsia="仿宋" w:cs="仿宋"/>
          <w:b/>
          <w:bCs/>
          <w:color w:val="auto"/>
          <w:sz w:val="32"/>
          <w:szCs w:val="32"/>
        </w:rPr>
        <w:t>。</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虽然完成5个新建项目的碳足迹测算，但研究覆盖面与数据完整性存在不足：</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一是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样本代表性不足，测算对象仅覆盖办公楼、科研建筑等类型，未纳入医院、展览馆、会展中心等类别项目；</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二是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研究链条不完整，测算工作集中于设计阶段理论值推演，未能全面跟踪施工环节建材实际用量及运营阶段能耗数据，全生命周期碳排放数据链条不够完整，导致数据体系对政策实施的支撑作用有限。</w:t>
      </w:r>
    </w:p>
    <w:p w14:paraId="22FAA29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sz w:val="32"/>
          <w:szCs w:val="32"/>
        </w:rPr>
        <w:t>（四）宣传培训覆盖面不足影响多元主体参与。</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虽然多次开展绿色建材推广工作，但宣传培训尚未形成多维度协同机制，政策传导效果未达预期。</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一是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跨部门协同宣传机制缺位，未联合其他部门开展定向宣传；</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二是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公众宣传形式传统，市场需求拉动作用未激活。</w:t>
      </w:r>
    </w:p>
    <w:p w14:paraId="7EADD771">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五、</w:t>
      </w:r>
      <w:r>
        <w:rPr>
          <w:rFonts w:hint="eastAsia" w:ascii="黑体" w:hAnsi="黑体" w:eastAsia="黑体" w:cs="黑体"/>
          <w:color w:val="000000" w:themeColor="text1"/>
          <w:kern w:val="0"/>
          <w:sz w:val="32"/>
          <w:szCs w:val="32"/>
          <w:lang w:val="en-US" w:eastAsia="zh-CN"/>
          <w14:textFill>
            <w14:solidFill>
              <w14:schemeClr w14:val="tx1"/>
            </w14:solidFill>
          </w14:textFill>
        </w:rPr>
        <w:t>有关</w:t>
      </w:r>
      <w:r>
        <w:rPr>
          <w:rFonts w:hint="eastAsia" w:ascii="黑体" w:hAnsi="黑体" w:eastAsia="黑体" w:cs="黑体"/>
          <w:color w:val="000000" w:themeColor="text1"/>
          <w:kern w:val="0"/>
          <w:sz w:val="32"/>
          <w:szCs w:val="32"/>
          <w14:textFill>
            <w14:solidFill>
              <w14:schemeClr w14:val="tx1"/>
            </w14:solidFill>
          </w14:textFill>
        </w:rPr>
        <w:t>建议</w:t>
      </w:r>
    </w:p>
    <w:p w14:paraId="2E37FA6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sz w:val="32"/>
          <w:szCs w:val="32"/>
        </w:rPr>
        <w:t>（一）加强预算申报准确度。</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一是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积极加强各部门沟通协调，促进激励措施等配套政策出台，加强资金拨付与预算匹配性。</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二是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要加强摸底调研，对实际情况加强掌握，确保资金预算更加精准；</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三是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强化过程控制，在实施过程中加强进度管理，督促加强落实。</w:t>
      </w:r>
    </w:p>
    <w:p w14:paraId="5F2D2721">
      <w:pPr>
        <w:pStyle w:val="10"/>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kern w:val="2"/>
          <w:sz w:val="32"/>
          <w:szCs w:val="32"/>
        </w:rPr>
        <w:t>（二）健全政策实施机制，强化全流程管理。</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针对项目管理体系不完善问题，重点从制度规范、标准体系、协同机制三方面系统推进：</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一是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完善制度规范，加快构建覆盖采购需求编制、供应商管理、履约验收等环节的全流程管理制度，明确各方主体责任边界；</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二是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健全标准体系，推动制定绿色建材应用比例核定、碳排放核算等配套技术标准，强化设计、施工、验收等阶段管控要求；</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三是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优化协调机制，建立跨部门联席会议制度，定期统筹调度项目实施进度，搭建供需信息对接平台，促进政府采购需求与建材企业供给精准匹配。</w:t>
      </w:r>
    </w:p>
    <w:p w14:paraId="72F266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kern w:val="2"/>
          <w:sz w:val="32"/>
          <w:szCs w:val="32"/>
          <w:lang w:val="en-US" w:eastAsia="zh-CN" w:bidi="ar-SA"/>
        </w:rPr>
        <w:t>（三）加强南京市建筑碳足迹数据库深化研究。</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按照国家碳排放统计计算相关计算标准，探索项目全生命周期碳排放核算，加强南京市建筑碳足迹数据库深化研究。对接城市更新中心、市公建中心等单位，增加既有建筑改造、办公楼建筑、市政项目及绿色建筑星级项目类型，拓展项目类型与研究覆盖面，推动建筑全生命周期碳排放跟踪计算，进一步积累建筑碳足迹数据，不断深化建设项目碳排放计算研究和实践，探索绿色建材市场化途径。</w:t>
      </w:r>
    </w:p>
    <w:p w14:paraId="70E9DC5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auto"/>
          <w:kern w:val="2"/>
          <w:sz w:val="32"/>
          <w:szCs w:val="32"/>
          <w:lang w:val="en-US" w:eastAsia="zh-CN" w:bidi="ar-SA"/>
        </w:rPr>
        <w:t>（四）发挥宣传效应，调动各方积极性。</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一是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提升职能部门意识。加强市、区级职能部门的相关学习培训，提高对推广应用绿色建材的主体意识，切实把握“双碳”相关政策要求；</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二是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开展培训宣传。引导建材企业积极开展建材产品绿色认证或符合性质量检测，满足政府采购支持绿色建材政策实施范围的建设工程项目采购需求；</w:t>
      </w:r>
      <w:r>
        <w:rPr>
          <w:rFonts w:hint="eastAsia" w:ascii="Times New Roman" w:hAnsi="Times New Roman" w:eastAsia="方正仿宋_GBK" w:cs="Times New Roman"/>
          <w:b/>
          <w:bCs/>
          <w:color w:val="000000" w:themeColor="text1"/>
          <w:kern w:val="2"/>
          <w:sz w:val="32"/>
          <w:szCs w:val="32"/>
          <w:lang w:val="en-US" w:eastAsia="zh-CN" w:bidi="ar-SA"/>
          <w14:textFill>
            <w14:solidFill>
              <w14:schemeClr w14:val="tx1"/>
            </w14:solidFill>
          </w14:textFill>
        </w:rPr>
        <w:t>三是</w:t>
      </w:r>
      <w:r>
        <w:rPr>
          <w:rFonts w:hint="eastAsia"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加强社会认知。开展绿色建材宣传进社区、进校园活动，举办系列研讨会深入探讨绿色建材在绿色建筑中的实际应用，分享绿色建材对绿色建筑品质提升及建筑领域降低碳排放的有效促进，进一步提高社会公众绿色意识。</w:t>
      </w:r>
    </w:p>
    <w:p w14:paraId="7DB71C7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color w:val="000000"/>
          <w:kern w:val="0"/>
          <w:sz w:val="32"/>
          <w:szCs w:val="32"/>
        </w:rPr>
        <w:t>六、评价工作开展情况及其他需要说明的情况</w:t>
      </w:r>
    </w:p>
    <w:p w14:paraId="2F54D087">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（一）评价思路</w:t>
      </w:r>
    </w:p>
    <w:p w14:paraId="59F8C8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本次评价通过指标设计、数据采集、数据汇总分析、报告撰写等步骤完成。为推进绿色建材试点工作，确保专项资金落到实处，绩效指标选取侧重于从项目经济效益、社会效益符合推广绿色建材应用、提升绿色建筑品质的总体要求出发，采集具有代表性与广泛性的数据，支撑指标体系的评分，实现客观科学的评价。</w:t>
      </w:r>
    </w:p>
    <w:p w14:paraId="1FFCE1C4">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（二）指标设定</w:t>
      </w:r>
    </w:p>
    <w:p w14:paraId="287EBC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根据《</w:t>
      </w:r>
      <w:r>
        <w:rPr>
          <w:rFonts w:hint="eastAsia" w:ascii="Times New Roman" w:hAnsi="Times New Roman" w:eastAsia="方正仿宋_GBK" w:cs="Times New Roman"/>
          <w:color w:val="auto"/>
          <w:kern w:val="2"/>
          <w:sz w:val="32"/>
          <w:szCs w:val="32"/>
          <w:lang w:val="en-US" w:eastAsia="zh-CN" w:bidi="ar-SA"/>
        </w:rPr>
        <w:t>南京市市级预算绩效管理办法</w:t>
      </w:r>
      <w:r>
        <w:rPr>
          <w:rFonts w:hint="default" w:ascii="Times New Roman" w:hAnsi="Times New Roman" w:eastAsia="方正仿宋_GBK" w:cs="Times New Roman"/>
          <w:color w:val="auto"/>
          <w:kern w:val="2"/>
          <w:sz w:val="32"/>
          <w:szCs w:val="32"/>
          <w:lang w:val="en-US" w:eastAsia="zh-CN" w:bidi="ar-SA"/>
        </w:rPr>
        <w:t>》</w:t>
      </w:r>
      <w:r>
        <w:rPr>
          <w:rFonts w:hint="eastAsia" w:ascii="Times New Roman" w:hAnsi="Times New Roman" w:eastAsia="方正仿宋_GBK" w:cs="Times New Roman"/>
          <w:color w:val="auto"/>
          <w:kern w:val="2"/>
          <w:sz w:val="32"/>
          <w:szCs w:val="32"/>
          <w:lang w:val="en-US" w:eastAsia="zh-CN" w:bidi="ar-SA"/>
        </w:rPr>
        <w:t>（宁委办厅字</w:t>
      </w:r>
      <w:r>
        <w:rPr>
          <w:rFonts w:hint="eastAsia"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20</w:t>
      </w:r>
      <w:r>
        <w:rPr>
          <w:rFonts w:hint="eastAsia" w:ascii="Times New Roman" w:hAnsi="Times New Roman" w:eastAsia="方正仿宋_GBK" w:cs="Times New Roman"/>
          <w:color w:val="000000"/>
          <w:kern w:val="0"/>
          <w:sz w:val="32"/>
          <w:szCs w:val="32"/>
          <w:lang w:val="en-US" w:eastAsia="zh-CN"/>
        </w:rPr>
        <w:t>24</w:t>
      </w:r>
      <w:r>
        <w:rPr>
          <w:rFonts w:hint="eastAsia" w:ascii="Times New Roman" w:hAnsi="Times New Roman" w:eastAsia="方正仿宋_GBK" w:cs="Times New Roman"/>
          <w:color w:val="000000"/>
          <w:kern w:val="0"/>
          <w:sz w:val="32"/>
          <w:szCs w:val="32"/>
        </w:rPr>
        <w:t>〕</w:t>
      </w:r>
      <w:r>
        <w:rPr>
          <w:rFonts w:hint="eastAsia" w:ascii="Times New Roman" w:hAnsi="Times New Roman" w:eastAsia="方正仿宋_GBK" w:cs="Times New Roman"/>
          <w:color w:val="000000"/>
          <w:kern w:val="0"/>
          <w:sz w:val="32"/>
          <w:szCs w:val="32"/>
          <w:lang w:val="en-US" w:eastAsia="zh-CN"/>
        </w:rPr>
        <w:t>2号</w:t>
      </w:r>
      <w:r>
        <w:rPr>
          <w:rFonts w:hint="eastAsia"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color w:val="auto"/>
          <w:kern w:val="2"/>
          <w:sz w:val="32"/>
          <w:szCs w:val="32"/>
          <w:lang w:val="en-US" w:eastAsia="zh-CN" w:bidi="ar-SA"/>
        </w:rPr>
        <w:t>《关于开展2025年度预算绩效信息公开工作的通知》</w:t>
      </w:r>
      <w:r>
        <w:rPr>
          <w:rFonts w:hint="eastAsia" w:ascii="Times New Roman" w:hAnsi="Times New Roman" w:eastAsia="方正仿宋_GBK" w:cs="Times New Roman"/>
          <w:color w:val="auto"/>
          <w:kern w:val="2"/>
          <w:sz w:val="32"/>
          <w:szCs w:val="32"/>
          <w:lang w:val="en-US" w:eastAsia="zh-CN" w:bidi="ar-SA"/>
        </w:rPr>
        <w:t>（宁财预</w:t>
      </w:r>
      <w:r>
        <w:rPr>
          <w:rFonts w:hint="eastAsia"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rPr>
        <w:t>20</w:t>
      </w:r>
      <w:r>
        <w:rPr>
          <w:rFonts w:hint="eastAsia" w:ascii="Times New Roman" w:hAnsi="Times New Roman" w:eastAsia="方正仿宋_GBK" w:cs="Times New Roman"/>
          <w:color w:val="000000"/>
          <w:kern w:val="0"/>
          <w:sz w:val="32"/>
          <w:szCs w:val="32"/>
          <w:lang w:val="en-US" w:eastAsia="zh-CN"/>
        </w:rPr>
        <w:t>25</w:t>
      </w:r>
      <w:r>
        <w:rPr>
          <w:rFonts w:hint="eastAsia" w:ascii="Times New Roman" w:hAnsi="Times New Roman" w:eastAsia="方正仿宋_GBK" w:cs="Times New Roman"/>
          <w:color w:val="000000"/>
          <w:kern w:val="0"/>
          <w:sz w:val="32"/>
          <w:szCs w:val="32"/>
        </w:rPr>
        <w:t>〕</w:t>
      </w:r>
      <w:r>
        <w:rPr>
          <w:rFonts w:hint="eastAsia" w:ascii="Times New Roman" w:hAnsi="Times New Roman" w:eastAsia="方正仿宋_GBK" w:cs="Times New Roman"/>
          <w:color w:val="000000"/>
          <w:kern w:val="0"/>
          <w:sz w:val="32"/>
          <w:szCs w:val="32"/>
          <w:lang w:val="en-US" w:eastAsia="zh-CN"/>
        </w:rPr>
        <w:t>30号</w:t>
      </w:r>
      <w:r>
        <w:rPr>
          <w:rFonts w:hint="eastAsia" w:ascii="Times New Roman" w:hAnsi="Times New Roman" w:eastAsia="方正仿宋_GBK" w:cs="Times New Roman"/>
          <w:color w:val="auto"/>
          <w:kern w:val="2"/>
          <w:sz w:val="32"/>
          <w:szCs w:val="32"/>
          <w:lang w:val="en-US" w:eastAsia="zh-CN" w:bidi="ar-SA"/>
        </w:rPr>
        <w:t>）等文件要求</w:t>
      </w:r>
      <w:r>
        <w:rPr>
          <w:rFonts w:hint="default" w:ascii="Times New Roman" w:hAnsi="Times New Roman" w:eastAsia="方正仿宋_GBK" w:cs="Times New Roman"/>
          <w:color w:val="auto"/>
          <w:kern w:val="2"/>
          <w:sz w:val="32"/>
          <w:szCs w:val="32"/>
          <w:lang w:val="en-US" w:eastAsia="zh-CN" w:bidi="ar-SA"/>
        </w:rPr>
        <w:t>，结合南京市绿色建材推广工作特点进行适应性调整，共设置决策、过程、产出、效益、满意度5项一级指标，细化分解为13项二级指标和28项三级指标。</w:t>
      </w:r>
    </w:p>
    <w:p w14:paraId="651C3BA0">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（三）组织实施</w:t>
      </w:r>
    </w:p>
    <w:p w14:paraId="59295E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此次绩效评价工作的组织实施分为三个阶段，分别为：前期准备阶段、组织实施阶段和报告撰写阶段。</w:t>
      </w:r>
    </w:p>
    <w:p w14:paraId="6252068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1.前期准备阶段</w:t>
      </w:r>
    </w:p>
    <w:p w14:paraId="712A7F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202</w:t>
      </w:r>
      <w:r>
        <w:rPr>
          <w:rFonts w:hint="eastAsia" w:ascii="Times New Roman" w:hAnsi="Times New Roman" w:eastAsia="方正仿宋_GBK" w:cs="Times New Roman"/>
          <w:color w:val="auto"/>
          <w:kern w:val="2"/>
          <w:sz w:val="32"/>
          <w:szCs w:val="32"/>
          <w:lang w:val="en-US" w:eastAsia="zh-CN" w:bidi="ar-SA"/>
        </w:rPr>
        <w:t>5</w:t>
      </w:r>
      <w:r>
        <w:rPr>
          <w:rFonts w:hint="default" w:ascii="Times New Roman" w:hAnsi="Times New Roman" w:eastAsia="方正仿宋_GBK" w:cs="Times New Roman"/>
          <w:color w:val="auto"/>
          <w:kern w:val="2"/>
          <w:sz w:val="32"/>
          <w:szCs w:val="32"/>
          <w:lang w:val="en-US" w:eastAsia="zh-CN" w:bidi="ar-SA"/>
        </w:rPr>
        <w:t>年5月中下旬。组建绩效评价工作小组，小组成员由具体经办的建筑材料（墙材）管理科、基金</w:t>
      </w:r>
      <w:r>
        <w:rPr>
          <w:rFonts w:hint="eastAsia" w:ascii="Times New Roman" w:hAnsi="Times New Roman" w:eastAsia="方正仿宋_GBK" w:cs="Times New Roman"/>
          <w:color w:val="auto"/>
          <w:kern w:val="2"/>
          <w:sz w:val="32"/>
          <w:szCs w:val="32"/>
          <w:lang w:val="en-US" w:eastAsia="zh-CN" w:bidi="ar-SA"/>
        </w:rPr>
        <w:t>管理</w:t>
      </w:r>
      <w:r>
        <w:rPr>
          <w:rFonts w:hint="default" w:ascii="Times New Roman" w:hAnsi="Times New Roman" w:eastAsia="方正仿宋_GBK" w:cs="Times New Roman"/>
          <w:color w:val="auto"/>
          <w:kern w:val="2"/>
          <w:sz w:val="32"/>
          <w:szCs w:val="32"/>
          <w:lang w:val="en-US" w:eastAsia="zh-CN" w:bidi="ar-SA"/>
        </w:rPr>
        <w:t>科、分管副主任及主任组成。根据项目文件资料、申报资料等，结合项目特点，确定评价的目的、范围、原则，确定绩效评价工作方案，制定绩效评价体系。</w:t>
      </w:r>
    </w:p>
    <w:p w14:paraId="70F48F7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2.组织实施阶段</w:t>
      </w:r>
    </w:p>
    <w:p w14:paraId="75AF1A0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202</w:t>
      </w:r>
      <w:r>
        <w:rPr>
          <w:rFonts w:hint="eastAsia" w:ascii="Times New Roman" w:hAnsi="Times New Roman" w:eastAsia="方正仿宋_GBK" w:cs="Times New Roman"/>
          <w:color w:val="auto"/>
          <w:kern w:val="2"/>
          <w:sz w:val="32"/>
          <w:szCs w:val="32"/>
          <w:lang w:val="en-US" w:eastAsia="zh-CN" w:bidi="ar-SA"/>
        </w:rPr>
        <w:t>5</w:t>
      </w:r>
      <w:r>
        <w:rPr>
          <w:rFonts w:hint="default" w:ascii="Times New Roman" w:hAnsi="Times New Roman" w:eastAsia="方正仿宋_GBK" w:cs="Times New Roman"/>
          <w:color w:val="auto"/>
          <w:kern w:val="2"/>
          <w:sz w:val="32"/>
          <w:szCs w:val="32"/>
          <w:lang w:val="en-US" w:eastAsia="zh-CN" w:bidi="ar-SA"/>
        </w:rPr>
        <w:t>年5月下旬至6月中旬。对项目资金使用情况进行核查，核查内容包括绩效评价基础表数据的收集核对、项目资金使用情况、绩效目标完成情况、项目投入产出社会效益等方面的内容。</w:t>
      </w:r>
    </w:p>
    <w:p w14:paraId="2AD90D8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3.报告撰写阶段</w:t>
      </w:r>
    </w:p>
    <w:p w14:paraId="47B9192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202</w:t>
      </w:r>
      <w:r>
        <w:rPr>
          <w:rFonts w:hint="eastAsia" w:ascii="Times New Roman" w:hAnsi="Times New Roman" w:eastAsia="方正仿宋_GBK" w:cs="Times New Roman"/>
          <w:color w:val="auto"/>
          <w:kern w:val="2"/>
          <w:sz w:val="32"/>
          <w:szCs w:val="32"/>
          <w:lang w:val="en-US" w:eastAsia="zh-CN" w:bidi="ar-SA"/>
        </w:rPr>
        <w:t>5</w:t>
      </w:r>
      <w:r>
        <w:rPr>
          <w:rFonts w:hint="default" w:ascii="Times New Roman" w:hAnsi="Times New Roman" w:eastAsia="方正仿宋_GBK" w:cs="Times New Roman"/>
          <w:color w:val="auto"/>
          <w:kern w:val="2"/>
          <w:sz w:val="32"/>
          <w:szCs w:val="32"/>
          <w:lang w:val="en-US" w:eastAsia="zh-CN" w:bidi="ar-SA"/>
        </w:rPr>
        <w:t>年6月下旬。根据资料结合检查情况，对数据进行汇总、对比、分析，科室内部讨论完成基础表格数据的填写及绩效自评价报告的草拟。经领导审阅及修改，完成评价报告的撰写。</w:t>
      </w:r>
    </w:p>
    <w:p w14:paraId="63E28BF8">
      <w:pPr>
        <w:keepNext w:val="0"/>
        <w:keepLines w:val="0"/>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Times New Roman"/>
          <w:color w:val="000000" w:themeColor="text1"/>
          <w:sz w:val="32"/>
          <w:szCs w:val="32"/>
          <w14:textFill>
            <w14:solidFill>
              <w14:schemeClr w14:val="tx1"/>
            </w14:solidFill>
          </w14:textFill>
        </w:rPr>
      </w:pPr>
    </w:p>
    <w:p w14:paraId="23890974">
      <w:pPr>
        <w:keepNext w:val="0"/>
        <w:keepLines w:val="0"/>
        <w:pageBreakBefore w:val="0"/>
        <w:kinsoku/>
        <w:wordWrap/>
        <w:overflowPunct/>
        <w:topLinePunct w:val="0"/>
        <w:autoSpaceDE/>
        <w:autoSpaceDN/>
        <w:bidi w:val="0"/>
        <w:adjustRightInd/>
        <w:snapToGrid/>
        <w:spacing w:line="560" w:lineRule="exact"/>
        <w:ind w:left="1688" w:leftChars="304" w:hanging="1050" w:hangingChars="3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000000" w:themeColor="text1"/>
          <w:spacing w:val="15"/>
          <w:kern w:val="0"/>
          <w:sz w:val="32"/>
          <w:szCs w:val="32"/>
          <w:shd w:val="clear" w:color="auto" w:fill="FFFFFF"/>
          <w14:textFill>
            <w14:solidFill>
              <w14:schemeClr w14:val="tx1"/>
            </w14:solidFill>
          </w14:textFill>
        </w:rPr>
        <w:t>附件：</w:t>
      </w:r>
      <w:r>
        <w:rPr>
          <w:rFonts w:hint="default" w:ascii="Times New Roman" w:hAnsi="Times New Roman" w:eastAsia="方正仿宋_GBK" w:cs="Times New Roman"/>
          <w:color w:val="auto"/>
          <w:kern w:val="2"/>
          <w:sz w:val="32"/>
          <w:szCs w:val="32"/>
          <w:lang w:val="en-US" w:eastAsia="zh-CN" w:bidi="ar-SA"/>
        </w:rPr>
        <w:t>2024年政府采购支持绿色建材工作专项资金绩效综合评分表</w:t>
      </w:r>
    </w:p>
    <w:p w14:paraId="31C65C4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p>
    <w:p w14:paraId="3AA96D6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仿宋_GB2312" w:cs="Times New Roman"/>
          <w:color w:val="000000" w:themeColor="text1"/>
          <w:kern w:val="0"/>
          <w:sz w:val="32"/>
          <w:szCs w:val="32"/>
          <w14:textFill>
            <w14:solidFill>
              <w14:schemeClr w14:val="tx1"/>
            </w14:solidFill>
          </w14:textFill>
        </w:rPr>
      </w:pPr>
    </w:p>
    <w:p w14:paraId="61B9990B">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Times New Roman" w:hAnsi="Times New Roman" w:eastAsia="仿宋_GB2312" w:cs="Times New Roman"/>
          <w:color w:val="000000" w:themeColor="text1"/>
          <w:kern w:val="0"/>
          <w:sz w:val="32"/>
          <w:szCs w:val="32"/>
          <w14:textFill>
            <w14:solidFill>
              <w14:schemeClr w14:val="tx1"/>
            </w14:solidFill>
          </w14:textFill>
        </w:rPr>
      </w:pPr>
    </w:p>
    <w:p w14:paraId="7749F32D">
      <w:pPr>
        <w:keepNext w:val="0"/>
        <w:keepLines w:val="0"/>
        <w:pageBreakBefore w:val="0"/>
        <w:widowControl/>
        <w:kinsoku/>
        <w:wordWrap/>
        <w:overflowPunct/>
        <w:topLinePunct w:val="0"/>
        <w:autoSpaceDE/>
        <w:autoSpaceDN/>
        <w:bidi w:val="0"/>
        <w:adjustRightInd/>
        <w:snapToGrid/>
        <w:spacing w:line="560" w:lineRule="exact"/>
        <w:ind w:firstLine="2880" w:firstLineChars="900"/>
        <w:jc w:val="left"/>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南京市绿色建筑与绿色建材发展中心</w:t>
      </w:r>
    </w:p>
    <w:p w14:paraId="271C2E56">
      <w:pPr>
        <w:keepNext w:val="0"/>
        <w:keepLines w:val="0"/>
        <w:pageBreakBefore w:val="0"/>
        <w:widowControl/>
        <w:kinsoku/>
        <w:wordWrap/>
        <w:overflowPunct/>
        <w:topLinePunct w:val="0"/>
        <w:autoSpaceDE/>
        <w:autoSpaceDN/>
        <w:bidi w:val="0"/>
        <w:adjustRightInd/>
        <w:snapToGrid/>
        <w:spacing w:line="560" w:lineRule="exact"/>
        <w:ind w:firstLine="4160" w:firstLineChars="1300"/>
        <w:jc w:val="left"/>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仿宋_GBK" w:cs="Times New Roman"/>
          <w:color w:val="000000" w:themeColor="text1"/>
          <w:kern w:val="0"/>
          <w:sz w:val="32"/>
          <w:szCs w:val="32"/>
          <w14:textFill>
            <w14:solidFill>
              <w14:schemeClr w14:val="tx1"/>
            </w14:solidFill>
          </w14:textFill>
        </w:rPr>
        <w:t>20</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25</w:t>
      </w:r>
      <w:r>
        <w:rPr>
          <w:rFonts w:hint="default" w:ascii="Times New Roman" w:hAnsi="Times New Roman" w:eastAsia="方正仿宋_GBK" w:cs="Times New Roman"/>
          <w:color w:val="000000" w:themeColor="text1"/>
          <w:kern w:val="0"/>
          <w:sz w:val="32"/>
          <w:szCs w:val="32"/>
          <w14:textFill>
            <w14:solidFill>
              <w14:schemeClr w14:val="tx1"/>
            </w14:solidFill>
          </w14:textFill>
        </w:rPr>
        <w:t>年</w:t>
      </w:r>
      <w:r>
        <w:rPr>
          <w:rFonts w:hint="default" w:ascii="Times New Roman" w:hAnsi="Times New Roman" w:eastAsia="方正仿宋_GBK"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kern w:val="0"/>
          <w:sz w:val="32"/>
          <w:szCs w:val="32"/>
          <w14:textFill>
            <w14:solidFill>
              <w14:schemeClr w14:val="tx1"/>
            </w14:solidFill>
          </w14:textFill>
        </w:rPr>
        <w:t>月</w:t>
      </w:r>
      <w:r>
        <w:rPr>
          <w:rFonts w:hint="default" w:ascii="Times New Roman" w:hAnsi="Times New Roman" w:eastAsia="方正仿宋_GBK" w:cs="Times New Roman"/>
          <w:color w:val="000000" w:themeColor="text1"/>
          <w:kern w:val="0"/>
          <w:sz w:val="32"/>
          <w:szCs w:val="32"/>
          <w:lang w:val="en-US" w:eastAsia="zh-CN"/>
          <w14:textFill>
            <w14:solidFill>
              <w14:schemeClr w14:val="tx1"/>
            </w14:solidFill>
          </w14:textFill>
        </w:rPr>
        <w:t>1</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9</w:t>
      </w:r>
      <w:r>
        <w:rPr>
          <w:rFonts w:hint="default" w:ascii="Times New Roman" w:hAnsi="Times New Roman" w:eastAsia="方正仿宋_GBK" w:cs="Times New Roman"/>
          <w:color w:val="000000" w:themeColor="text1"/>
          <w:kern w:val="0"/>
          <w:sz w:val="32"/>
          <w:szCs w:val="32"/>
          <w14:textFill>
            <w14:solidFill>
              <w14:schemeClr w14:val="tx1"/>
            </w14:solidFill>
          </w14:textFill>
        </w:rPr>
        <w:t>日</w:t>
      </w:r>
    </w:p>
    <w:p w14:paraId="490E6118">
      <w:pPr>
        <w:widowControl/>
        <w:ind w:firstLine="620"/>
        <w:jc w:val="left"/>
        <w:rPr>
          <w:rFonts w:hint="eastAsia" w:ascii="仿宋" w:hAnsi="仿宋" w:eastAsia="仿宋" w:cs="仿宋"/>
          <w:color w:val="000000"/>
          <w:kern w:val="0"/>
          <w:sz w:val="31"/>
          <w:szCs w:val="31"/>
        </w:rPr>
      </w:pPr>
    </w:p>
    <w:p w14:paraId="09470D00">
      <w:pPr>
        <w:widowControl/>
        <w:ind w:firstLine="620"/>
        <w:jc w:val="left"/>
        <w:rPr>
          <w:rFonts w:hint="eastAsia" w:ascii="仿宋" w:hAnsi="仿宋" w:eastAsia="仿宋" w:cs="仿宋"/>
          <w:color w:val="000000"/>
          <w:kern w:val="0"/>
          <w:sz w:val="31"/>
          <w:szCs w:val="31"/>
        </w:rPr>
      </w:pPr>
    </w:p>
    <w:p w14:paraId="7B87543C">
      <w:pPr>
        <w:widowControl/>
        <w:ind w:firstLine="620"/>
        <w:jc w:val="left"/>
        <w:rPr>
          <w:rFonts w:hint="eastAsia" w:ascii="仿宋" w:hAnsi="仿宋" w:eastAsia="仿宋" w:cs="仿宋"/>
          <w:color w:val="000000"/>
          <w:kern w:val="0"/>
          <w:sz w:val="31"/>
          <w:szCs w:val="31"/>
        </w:rPr>
      </w:pPr>
    </w:p>
    <w:p w14:paraId="31F07EE2">
      <w:pPr>
        <w:widowControl/>
        <w:ind w:firstLine="620"/>
        <w:jc w:val="left"/>
        <w:rPr>
          <w:rFonts w:hint="eastAsia" w:ascii="仿宋" w:hAnsi="仿宋" w:eastAsia="仿宋" w:cs="仿宋"/>
          <w:color w:val="000000"/>
          <w:kern w:val="0"/>
          <w:sz w:val="31"/>
          <w:szCs w:val="31"/>
        </w:rPr>
      </w:pPr>
    </w:p>
    <w:p w14:paraId="712C2F48">
      <w:pPr>
        <w:widowControl/>
        <w:jc w:val="left"/>
        <w:rPr>
          <w:rFonts w:hint="eastAsia" w:ascii="仿宋" w:hAnsi="仿宋" w:eastAsia="仿宋" w:cs="仿宋"/>
          <w:color w:val="000000"/>
          <w:kern w:val="0"/>
          <w:sz w:val="32"/>
          <w:szCs w:val="32"/>
        </w:rPr>
      </w:pPr>
    </w:p>
    <w:p w14:paraId="6E64843D">
      <w:pPr>
        <w:widowControl/>
        <w:jc w:val="left"/>
        <w:rPr>
          <w:rFonts w:hint="eastAsia" w:ascii="仿宋" w:hAnsi="仿宋" w:eastAsia="仿宋" w:cs="仿宋"/>
          <w:color w:val="000000"/>
          <w:kern w:val="0"/>
          <w:sz w:val="32"/>
          <w:szCs w:val="32"/>
        </w:rPr>
      </w:pPr>
    </w:p>
    <w:p w14:paraId="476B52A7">
      <w:pPr>
        <w:widowControl/>
        <w:jc w:val="left"/>
        <w:rPr>
          <w:rFonts w:hint="eastAsia" w:ascii="仿宋" w:hAnsi="仿宋" w:eastAsia="仿宋" w:cs="仿宋"/>
          <w:color w:val="000000"/>
          <w:kern w:val="0"/>
          <w:sz w:val="31"/>
          <w:szCs w:val="31"/>
        </w:rPr>
      </w:pPr>
    </w:p>
    <w:p w14:paraId="73B6BDD1">
      <w:pPr>
        <w:widowControl/>
        <w:jc w:val="left"/>
        <w:rPr>
          <w:rFonts w:hint="eastAsia" w:ascii="仿宋" w:hAnsi="仿宋" w:eastAsia="仿宋" w:cs="仿宋"/>
          <w:color w:val="000000"/>
          <w:kern w:val="0"/>
          <w:sz w:val="31"/>
          <w:szCs w:val="31"/>
        </w:rPr>
      </w:pPr>
    </w:p>
    <w:p w14:paraId="4E360C70">
      <w:pPr>
        <w:widowControl/>
        <w:jc w:val="left"/>
        <w:rPr>
          <w:rFonts w:hint="eastAsia" w:ascii="方正仿宋_GBK" w:hAnsi="方正仿宋_GBK" w:eastAsia="方正仿宋_GBK" w:cs="方正仿宋_GBK"/>
          <w:color w:val="000000"/>
          <w:kern w:val="0"/>
          <w:sz w:val="31"/>
          <w:szCs w:val="31"/>
        </w:rPr>
      </w:pPr>
    </w:p>
    <w:p w14:paraId="3D810CB1">
      <w:pPr>
        <w:widowControl/>
        <w:jc w:val="left"/>
        <w:rPr>
          <w:rFonts w:ascii="仿宋" w:hAnsi="仿宋" w:eastAsia="仿宋" w:cs="仿宋"/>
          <w:color w:val="000000"/>
          <w:kern w:val="0"/>
          <w:sz w:val="31"/>
          <w:szCs w:val="31"/>
        </w:rPr>
      </w:pPr>
      <w:r>
        <w:rPr>
          <w:rFonts w:hint="eastAsia" w:ascii="方正仿宋_GBK" w:hAnsi="方正仿宋_GBK" w:eastAsia="方正仿宋_GBK" w:cs="方正仿宋_GBK"/>
          <w:color w:val="000000"/>
          <w:kern w:val="0"/>
          <w:sz w:val="31"/>
          <w:szCs w:val="31"/>
        </w:rPr>
        <w:t>附件</w:t>
      </w:r>
    </w:p>
    <w:p w14:paraId="49182BB6">
      <w:pPr>
        <w:spacing w:line="560" w:lineRule="exact"/>
        <w:jc w:val="center"/>
        <w:rPr>
          <w:rFonts w:hint="eastAsia" w:cs="Times New Roman" w:asciiTheme="majorEastAsia" w:hAnsiTheme="majorEastAsia" w:eastAsiaTheme="majorEastAsia"/>
          <w:sz w:val="36"/>
          <w:szCs w:val="36"/>
        </w:rPr>
      </w:pPr>
      <w:r>
        <w:rPr>
          <w:rFonts w:hint="eastAsia" w:asciiTheme="majorEastAsia" w:hAnsiTheme="majorEastAsia" w:eastAsiaTheme="majorEastAsia"/>
          <w:sz w:val="36"/>
          <w:szCs w:val="36"/>
        </w:rPr>
        <w:t>202</w:t>
      </w:r>
      <w:r>
        <w:rPr>
          <w:rFonts w:hint="eastAsia" w:asciiTheme="majorEastAsia" w:hAnsiTheme="majorEastAsia" w:eastAsiaTheme="majorEastAsia"/>
          <w:sz w:val="36"/>
          <w:szCs w:val="36"/>
          <w:lang w:val="en-US" w:eastAsia="zh-CN"/>
        </w:rPr>
        <w:t>4</w:t>
      </w:r>
      <w:r>
        <w:rPr>
          <w:rFonts w:hint="eastAsia" w:asciiTheme="majorEastAsia" w:hAnsiTheme="majorEastAsia" w:eastAsiaTheme="majorEastAsia"/>
          <w:sz w:val="36"/>
          <w:szCs w:val="36"/>
        </w:rPr>
        <w:t>年政府采购支持绿色建材</w:t>
      </w:r>
      <w:r>
        <w:rPr>
          <w:rFonts w:hint="eastAsia" w:asciiTheme="majorEastAsia" w:hAnsiTheme="majorEastAsia" w:eastAsiaTheme="majorEastAsia"/>
          <w:sz w:val="36"/>
          <w:szCs w:val="36"/>
          <w:lang w:val="en-US" w:eastAsia="zh-CN"/>
        </w:rPr>
        <w:t>工作</w:t>
      </w:r>
      <w:r>
        <w:rPr>
          <w:rFonts w:hint="eastAsia" w:cs="Times New Roman" w:asciiTheme="majorEastAsia" w:hAnsiTheme="majorEastAsia" w:eastAsiaTheme="majorEastAsia"/>
          <w:sz w:val="36"/>
          <w:szCs w:val="36"/>
        </w:rPr>
        <w:t>专项资金</w:t>
      </w:r>
    </w:p>
    <w:p w14:paraId="49DD58A8">
      <w:pPr>
        <w:spacing w:line="560" w:lineRule="exact"/>
        <w:jc w:val="center"/>
        <w:rPr>
          <w:rFonts w:asciiTheme="majorEastAsia" w:hAnsiTheme="majorEastAsia" w:eastAsiaTheme="majorEastAsia"/>
          <w:sz w:val="36"/>
          <w:szCs w:val="36"/>
        </w:rPr>
      </w:pPr>
      <w:r>
        <w:rPr>
          <w:rFonts w:hint="eastAsia" w:asciiTheme="majorEastAsia" w:hAnsiTheme="majorEastAsia" w:eastAsiaTheme="majorEastAsia"/>
          <w:sz w:val="36"/>
          <w:szCs w:val="36"/>
        </w:rPr>
        <w:t>绩效综合评分表</w:t>
      </w:r>
    </w:p>
    <w:tbl>
      <w:tblPr>
        <w:tblStyle w:val="13"/>
        <w:tblpPr w:leftFromText="180" w:rightFromText="180" w:vertAnchor="text" w:horzAnchor="page" w:tblpXSpec="center" w:tblpY="549"/>
        <w:tblOverlap w:val="never"/>
        <w:tblW w:w="1140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92"/>
        <w:gridCol w:w="750"/>
        <w:gridCol w:w="1065"/>
        <w:gridCol w:w="975"/>
        <w:gridCol w:w="3698"/>
        <w:gridCol w:w="610"/>
        <w:gridCol w:w="2712"/>
        <w:gridCol w:w="806"/>
      </w:tblGrid>
      <w:tr w14:paraId="747B63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28179B2F">
            <w:pPr>
              <w:jc w:val="center"/>
              <w:rPr>
                <w:rFonts w:ascii="黑体" w:hAnsi="黑体" w:eastAsia="黑体"/>
                <w:sz w:val="24"/>
              </w:rPr>
            </w:pPr>
            <w:r>
              <w:rPr>
                <w:rFonts w:hint="eastAsia" w:ascii="黑体" w:hAnsi="黑体" w:eastAsia="黑体"/>
                <w:sz w:val="24"/>
                <w:lang w:val="en-US" w:eastAsia="zh-CN"/>
              </w:rPr>
              <w:t>一</w:t>
            </w:r>
            <w:r>
              <w:rPr>
                <w:rFonts w:ascii="黑体" w:hAnsi="黑体" w:eastAsia="黑体"/>
                <w:sz w:val="24"/>
              </w:rPr>
              <w:t>级指标</w:t>
            </w:r>
          </w:p>
        </w:tc>
        <w:tc>
          <w:tcPr>
            <w:tcW w:w="750" w:type="dxa"/>
            <w:vAlign w:val="center"/>
          </w:tcPr>
          <w:p w14:paraId="32D3C231">
            <w:pPr>
              <w:jc w:val="center"/>
              <w:rPr>
                <w:rFonts w:ascii="黑体" w:hAnsi="黑体" w:eastAsia="黑体"/>
                <w:sz w:val="24"/>
              </w:rPr>
            </w:pPr>
            <w:r>
              <w:rPr>
                <w:rFonts w:ascii="黑体" w:hAnsi="黑体" w:eastAsia="黑体"/>
                <w:sz w:val="24"/>
              </w:rPr>
              <w:t>二级指标</w:t>
            </w:r>
          </w:p>
        </w:tc>
        <w:tc>
          <w:tcPr>
            <w:tcW w:w="1065" w:type="dxa"/>
            <w:vAlign w:val="center"/>
          </w:tcPr>
          <w:p w14:paraId="3B092919">
            <w:pPr>
              <w:jc w:val="center"/>
              <w:rPr>
                <w:rFonts w:ascii="黑体" w:hAnsi="黑体" w:eastAsia="黑体"/>
                <w:sz w:val="24"/>
              </w:rPr>
            </w:pPr>
            <w:r>
              <w:rPr>
                <w:rFonts w:ascii="黑体" w:hAnsi="黑体" w:eastAsia="黑体"/>
                <w:sz w:val="24"/>
              </w:rPr>
              <w:t>三级指标</w:t>
            </w:r>
          </w:p>
        </w:tc>
        <w:tc>
          <w:tcPr>
            <w:tcW w:w="975" w:type="dxa"/>
            <w:vAlign w:val="center"/>
          </w:tcPr>
          <w:p w14:paraId="53CCF380">
            <w:pPr>
              <w:jc w:val="center"/>
              <w:rPr>
                <w:rFonts w:ascii="黑体" w:hAnsi="黑体" w:eastAsia="黑体"/>
                <w:sz w:val="24"/>
              </w:rPr>
            </w:pPr>
            <w:r>
              <w:rPr>
                <w:rFonts w:hint="eastAsia" w:ascii="黑体" w:hAnsi="黑体" w:eastAsia="黑体"/>
                <w:color w:val="000000" w:themeColor="text1"/>
                <w:sz w:val="24"/>
                <w14:textFill>
                  <w14:solidFill>
                    <w14:schemeClr w14:val="tx1"/>
                  </w14:solidFill>
                </w14:textFill>
              </w:rPr>
              <w:t>指标值</w:t>
            </w:r>
          </w:p>
        </w:tc>
        <w:tc>
          <w:tcPr>
            <w:tcW w:w="3698" w:type="dxa"/>
            <w:vAlign w:val="center"/>
          </w:tcPr>
          <w:p w14:paraId="5899C7BA">
            <w:pPr>
              <w:jc w:val="center"/>
              <w:rPr>
                <w:rFonts w:ascii="黑体" w:hAnsi="黑体" w:eastAsia="黑体"/>
                <w:sz w:val="24"/>
              </w:rPr>
            </w:pPr>
            <w:r>
              <w:rPr>
                <w:rFonts w:ascii="黑体" w:hAnsi="黑体" w:eastAsia="黑体"/>
                <w:sz w:val="24"/>
              </w:rPr>
              <w:t>指标解释</w:t>
            </w:r>
          </w:p>
        </w:tc>
        <w:tc>
          <w:tcPr>
            <w:tcW w:w="610" w:type="dxa"/>
            <w:vAlign w:val="center"/>
          </w:tcPr>
          <w:p w14:paraId="1A573A51">
            <w:pPr>
              <w:jc w:val="center"/>
              <w:rPr>
                <w:rFonts w:ascii="黑体" w:hAnsi="黑体" w:eastAsia="黑体"/>
                <w:sz w:val="24"/>
              </w:rPr>
            </w:pPr>
            <w:r>
              <w:rPr>
                <w:rFonts w:hint="eastAsia" w:ascii="黑体" w:hAnsi="黑体" w:eastAsia="黑体"/>
                <w:sz w:val="24"/>
              </w:rPr>
              <w:t>权重</w:t>
            </w:r>
          </w:p>
        </w:tc>
        <w:tc>
          <w:tcPr>
            <w:tcW w:w="2712" w:type="dxa"/>
            <w:vAlign w:val="center"/>
          </w:tcPr>
          <w:p w14:paraId="2292E70D">
            <w:pPr>
              <w:jc w:val="center"/>
              <w:rPr>
                <w:rFonts w:hint="eastAsia" w:ascii="黑体" w:hAnsi="黑体" w:eastAsia="黑体"/>
                <w:color w:val="000000" w:themeColor="text1"/>
                <w:sz w:val="24"/>
                <w:lang w:val="en-US" w:eastAsia="zh-CN"/>
                <w14:textFill>
                  <w14:solidFill>
                    <w14:schemeClr w14:val="tx1"/>
                  </w14:solidFill>
                </w14:textFill>
              </w:rPr>
            </w:pPr>
            <w:r>
              <w:rPr>
                <w:rFonts w:hint="eastAsia" w:ascii="黑体" w:hAnsi="黑体" w:eastAsia="黑体"/>
                <w:sz w:val="24"/>
              </w:rPr>
              <w:t>评分</w:t>
            </w:r>
            <w:r>
              <w:rPr>
                <w:rFonts w:hint="eastAsia" w:ascii="黑体" w:hAnsi="黑体" w:eastAsia="黑体"/>
                <w:sz w:val="24"/>
                <w:lang w:val="en-US" w:eastAsia="zh-CN"/>
              </w:rPr>
              <w:t>标准</w:t>
            </w:r>
          </w:p>
        </w:tc>
        <w:tc>
          <w:tcPr>
            <w:tcW w:w="806" w:type="dxa"/>
            <w:vAlign w:val="center"/>
          </w:tcPr>
          <w:p w14:paraId="35288F9E">
            <w:pPr>
              <w:jc w:val="center"/>
              <w:rPr>
                <w:rFonts w:hint="eastAsia" w:ascii="黑体" w:hAnsi="黑体" w:eastAsia="黑体"/>
                <w:sz w:val="24"/>
                <w:lang w:val="en-US" w:eastAsia="zh-CN"/>
              </w:rPr>
            </w:pPr>
            <w:r>
              <w:rPr>
                <w:rFonts w:hint="eastAsia" w:ascii="黑体" w:hAnsi="黑体" w:eastAsia="黑体"/>
                <w:sz w:val="24"/>
                <w:lang w:val="en-US" w:eastAsia="zh-CN"/>
              </w:rPr>
              <w:t>评分</w:t>
            </w:r>
          </w:p>
        </w:tc>
      </w:tr>
      <w:tr w14:paraId="40B304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32" w:hRule="atLeast"/>
          <w:jc w:val="center"/>
        </w:trPr>
        <w:tc>
          <w:tcPr>
            <w:tcW w:w="792" w:type="dxa"/>
            <w:vMerge w:val="restart"/>
            <w:vAlign w:val="center"/>
          </w:tcPr>
          <w:p w14:paraId="62786F83">
            <w:pPr>
              <w:jc w:val="center"/>
              <w:rPr>
                <w:rFonts w:hint="eastAsia" w:eastAsiaTheme="minorEastAsia"/>
                <w:szCs w:val="21"/>
                <w:lang w:val="en-US" w:eastAsia="zh-CN"/>
              </w:rPr>
            </w:pPr>
            <w:r>
              <w:rPr>
                <w:szCs w:val="21"/>
              </w:rPr>
              <w:t>决策</w:t>
            </w:r>
            <w:r>
              <w:rPr>
                <w:rFonts w:hint="eastAsia"/>
                <w:szCs w:val="21"/>
                <w:lang w:val="en-US" w:eastAsia="zh-CN"/>
              </w:rPr>
              <w:t>指标</w:t>
            </w:r>
          </w:p>
          <w:p w14:paraId="0026BFA6">
            <w:pPr>
              <w:jc w:val="center"/>
              <w:rPr>
                <w:szCs w:val="21"/>
              </w:rPr>
            </w:pPr>
            <w:r>
              <w:rPr>
                <w:rFonts w:hint="eastAsia"/>
                <w:szCs w:val="21"/>
              </w:rPr>
              <w:t>（</w:t>
            </w: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szCs w:val="21"/>
              </w:rPr>
              <w:t>分）</w:t>
            </w:r>
          </w:p>
        </w:tc>
        <w:tc>
          <w:tcPr>
            <w:tcW w:w="750" w:type="dxa"/>
            <w:vMerge w:val="restart"/>
            <w:vAlign w:val="center"/>
          </w:tcPr>
          <w:p w14:paraId="0A67343D">
            <w:pPr>
              <w:jc w:val="center"/>
              <w:rPr>
                <w:szCs w:val="21"/>
              </w:rPr>
            </w:pPr>
            <w:r>
              <w:rPr>
                <w:szCs w:val="21"/>
              </w:rPr>
              <w:t>项目立项</w:t>
            </w:r>
          </w:p>
        </w:tc>
        <w:tc>
          <w:tcPr>
            <w:tcW w:w="1065" w:type="dxa"/>
            <w:vAlign w:val="center"/>
          </w:tcPr>
          <w:p w14:paraId="519755EE">
            <w:pPr>
              <w:jc w:val="center"/>
              <w:rPr>
                <w:szCs w:val="21"/>
              </w:rPr>
            </w:pPr>
            <w:r>
              <w:rPr>
                <w:szCs w:val="21"/>
              </w:rPr>
              <w:t>立项依据充分性</w:t>
            </w:r>
          </w:p>
        </w:tc>
        <w:tc>
          <w:tcPr>
            <w:tcW w:w="975" w:type="dxa"/>
            <w:vAlign w:val="center"/>
          </w:tcPr>
          <w:p w14:paraId="31B67652">
            <w:pPr>
              <w:jc w:val="center"/>
              <w:rPr>
                <w:rFonts w:hint="eastAsia" w:eastAsiaTheme="minorEastAsia"/>
                <w:szCs w:val="21"/>
                <w:lang w:eastAsia="zh-CN"/>
              </w:rPr>
            </w:pPr>
            <w:r>
              <w:rPr>
                <w:rFonts w:hint="eastAsia" w:ascii="宋体" w:hAnsi="宋体" w:cs="宋体"/>
                <w:kern w:val="0"/>
                <w:szCs w:val="21"/>
                <w:lang w:val="en-US" w:eastAsia="zh-CN"/>
              </w:rPr>
              <w:t>充分</w:t>
            </w:r>
          </w:p>
        </w:tc>
        <w:tc>
          <w:tcPr>
            <w:tcW w:w="3698" w:type="dxa"/>
            <w:vAlign w:val="center"/>
          </w:tcPr>
          <w:p w14:paraId="706FDEFF">
            <w:pPr>
              <w:jc w:val="left"/>
              <w:rPr>
                <w:rFonts w:hint="eastAsia"/>
                <w:szCs w:val="21"/>
              </w:rPr>
            </w:pPr>
            <w:r>
              <w:rPr>
                <w:rFonts w:hint="eastAsia"/>
                <w:szCs w:val="21"/>
              </w:rPr>
              <w:t>①项目立项是否符合国家法律法规、国民经济发展规划和相关政策；</w:t>
            </w:r>
          </w:p>
          <w:p w14:paraId="53E59270">
            <w:pPr>
              <w:jc w:val="left"/>
              <w:rPr>
                <w:rFonts w:hint="eastAsia"/>
                <w:szCs w:val="21"/>
              </w:rPr>
            </w:pPr>
            <w:r>
              <w:rPr>
                <w:rFonts w:hint="eastAsia"/>
                <w:szCs w:val="21"/>
              </w:rPr>
              <w:t>②项目立项是否符合行业发展规划和政策要求；</w:t>
            </w:r>
          </w:p>
          <w:p w14:paraId="731E1D6F">
            <w:pPr>
              <w:jc w:val="left"/>
              <w:rPr>
                <w:rFonts w:hint="eastAsia"/>
                <w:szCs w:val="21"/>
              </w:rPr>
            </w:pPr>
            <w:r>
              <w:rPr>
                <w:rFonts w:hint="eastAsia"/>
                <w:szCs w:val="21"/>
              </w:rPr>
              <w:t>③项目立项是否与部门职责范围相符，属于部门履职所需；</w:t>
            </w:r>
          </w:p>
          <w:p w14:paraId="280B1BAE">
            <w:pPr>
              <w:jc w:val="left"/>
              <w:rPr>
                <w:rFonts w:hint="eastAsia"/>
                <w:szCs w:val="21"/>
              </w:rPr>
            </w:pPr>
            <w:r>
              <w:rPr>
                <w:rFonts w:hint="eastAsia"/>
                <w:szCs w:val="21"/>
              </w:rPr>
              <w:t>④项目是否属于公共财政支持范围，是否符合中央、地方事权支出责任划分原则；</w:t>
            </w:r>
          </w:p>
          <w:p w14:paraId="60845897">
            <w:pPr>
              <w:jc w:val="left"/>
              <w:rPr>
                <w:szCs w:val="21"/>
              </w:rPr>
            </w:pPr>
            <w:r>
              <w:rPr>
                <w:rFonts w:hint="eastAsia"/>
                <w:szCs w:val="21"/>
              </w:rPr>
              <w:t>⑤项目是否与相关部门同类项目或部门内部相关项目重复。</w:t>
            </w:r>
          </w:p>
        </w:tc>
        <w:tc>
          <w:tcPr>
            <w:tcW w:w="610" w:type="dxa"/>
            <w:vAlign w:val="center"/>
          </w:tcPr>
          <w:p w14:paraId="5640F4DD">
            <w:pPr>
              <w:jc w:val="center"/>
              <w:rPr>
                <w:szCs w:val="21"/>
              </w:rPr>
            </w:pPr>
            <w:r>
              <w:rPr>
                <w:rFonts w:hint="eastAsia"/>
                <w:szCs w:val="21"/>
              </w:rPr>
              <w:t>2</w:t>
            </w:r>
          </w:p>
        </w:tc>
        <w:tc>
          <w:tcPr>
            <w:tcW w:w="2712" w:type="dxa"/>
            <w:vAlign w:val="center"/>
          </w:tcPr>
          <w:p w14:paraId="10B7FD99">
            <w:pPr>
              <w:jc w:val="left"/>
              <w:rPr>
                <w:rFonts w:hint="default" w:eastAsiaTheme="minorEastAsia"/>
                <w:color w:val="000000" w:themeColor="text1"/>
                <w:szCs w:val="21"/>
                <w:lang w:val="en-US" w:eastAsia="zh-CN"/>
                <w14:textFill>
                  <w14:solidFill>
                    <w14:schemeClr w14:val="tx1"/>
                  </w14:solidFill>
                </w14:textFill>
              </w:rPr>
            </w:pPr>
            <w:r>
              <w:rPr>
                <w:rFonts w:hint="eastAsia"/>
              </w:rPr>
              <w:t>要点各占20%权重，每个要点执行情况分达成、部分达成、未达成三档，按100%-80%（含）、80%-60%（含）、60%-0%评分</w:t>
            </w:r>
          </w:p>
        </w:tc>
        <w:tc>
          <w:tcPr>
            <w:tcW w:w="806" w:type="dxa"/>
            <w:vAlign w:val="center"/>
          </w:tcPr>
          <w:p w14:paraId="68940FF0">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01034E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3" w:hRule="atLeast"/>
          <w:jc w:val="center"/>
        </w:trPr>
        <w:tc>
          <w:tcPr>
            <w:tcW w:w="792" w:type="dxa"/>
            <w:vMerge w:val="continue"/>
            <w:vAlign w:val="center"/>
          </w:tcPr>
          <w:p w14:paraId="2E956300">
            <w:pPr>
              <w:jc w:val="center"/>
              <w:rPr>
                <w:szCs w:val="21"/>
              </w:rPr>
            </w:pPr>
          </w:p>
        </w:tc>
        <w:tc>
          <w:tcPr>
            <w:tcW w:w="750" w:type="dxa"/>
            <w:vMerge w:val="continue"/>
            <w:vAlign w:val="center"/>
          </w:tcPr>
          <w:p w14:paraId="0449D269">
            <w:pPr>
              <w:jc w:val="center"/>
              <w:rPr>
                <w:szCs w:val="21"/>
              </w:rPr>
            </w:pPr>
          </w:p>
        </w:tc>
        <w:tc>
          <w:tcPr>
            <w:tcW w:w="1065" w:type="dxa"/>
            <w:vAlign w:val="center"/>
          </w:tcPr>
          <w:p w14:paraId="7C687173">
            <w:pPr>
              <w:jc w:val="center"/>
              <w:rPr>
                <w:szCs w:val="21"/>
              </w:rPr>
            </w:pPr>
            <w:r>
              <w:rPr>
                <w:szCs w:val="21"/>
              </w:rPr>
              <w:t>立项程序规范性</w:t>
            </w:r>
          </w:p>
        </w:tc>
        <w:tc>
          <w:tcPr>
            <w:tcW w:w="975" w:type="dxa"/>
            <w:vAlign w:val="center"/>
          </w:tcPr>
          <w:p w14:paraId="1DD25525">
            <w:pPr>
              <w:jc w:val="center"/>
              <w:rPr>
                <w:szCs w:val="21"/>
              </w:rPr>
            </w:pPr>
            <w:r>
              <w:rPr>
                <w:rFonts w:hint="eastAsia" w:ascii="宋体" w:hAnsi="宋体" w:cs="宋体"/>
                <w:kern w:val="0"/>
                <w:szCs w:val="21"/>
              </w:rPr>
              <w:t>规范</w:t>
            </w:r>
          </w:p>
        </w:tc>
        <w:tc>
          <w:tcPr>
            <w:tcW w:w="3698" w:type="dxa"/>
            <w:vAlign w:val="center"/>
          </w:tcPr>
          <w:p w14:paraId="6ABD0C22">
            <w:pPr>
              <w:rPr>
                <w:rFonts w:hint="eastAsia"/>
                <w:szCs w:val="21"/>
              </w:rPr>
            </w:pPr>
            <w:r>
              <w:rPr>
                <w:rFonts w:hint="eastAsia"/>
                <w:szCs w:val="21"/>
              </w:rPr>
              <w:t>①项目是否按照规定的程序申请设立；</w:t>
            </w:r>
          </w:p>
          <w:p w14:paraId="4B608664">
            <w:pPr>
              <w:rPr>
                <w:rFonts w:hint="eastAsia"/>
                <w:szCs w:val="21"/>
              </w:rPr>
            </w:pPr>
            <w:r>
              <w:rPr>
                <w:rFonts w:hint="eastAsia"/>
                <w:szCs w:val="21"/>
              </w:rPr>
              <w:t>②审批文件、材料是否符合相关要求；</w:t>
            </w:r>
          </w:p>
          <w:p w14:paraId="1CCC3EAD">
            <w:pPr>
              <w:rPr>
                <w:szCs w:val="21"/>
              </w:rPr>
            </w:pPr>
            <w:r>
              <w:rPr>
                <w:rFonts w:hint="eastAsia"/>
                <w:szCs w:val="21"/>
              </w:rPr>
              <w:t>③事前是否已经过必要的可行性研究、专家论证、风险评估、绩效评估、集体决策。</w:t>
            </w:r>
          </w:p>
        </w:tc>
        <w:tc>
          <w:tcPr>
            <w:tcW w:w="610" w:type="dxa"/>
            <w:vAlign w:val="center"/>
          </w:tcPr>
          <w:p w14:paraId="4635538D">
            <w:pPr>
              <w:jc w:val="center"/>
              <w:rPr>
                <w:rFonts w:hint="default" w:eastAsiaTheme="minorEastAsia"/>
                <w:szCs w:val="21"/>
                <w:lang w:val="en-US" w:eastAsia="zh-CN"/>
              </w:rPr>
            </w:pPr>
            <w:r>
              <w:rPr>
                <w:rFonts w:hint="eastAsia"/>
                <w:szCs w:val="21"/>
                <w:lang w:val="en-US" w:eastAsia="zh-CN"/>
              </w:rPr>
              <w:t>2</w:t>
            </w:r>
          </w:p>
        </w:tc>
        <w:tc>
          <w:tcPr>
            <w:tcW w:w="2712" w:type="dxa"/>
            <w:vAlign w:val="center"/>
          </w:tcPr>
          <w:p w14:paraId="0959840A">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要点各占1/3权重，每个要点执行情况分达成、部分达成、未达成三档，按100%-80%（含）、80%-60%（含）、60%-0%评分。</w:t>
            </w:r>
          </w:p>
        </w:tc>
        <w:tc>
          <w:tcPr>
            <w:tcW w:w="806" w:type="dxa"/>
            <w:vAlign w:val="center"/>
          </w:tcPr>
          <w:p w14:paraId="5EB640D0">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4BCC92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43" w:hRule="atLeast"/>
          <w:jc w:val="center"/>
        </w:trPr>
        <w:tc>
          <w:tcPr>
            <w:tcW w:w="792" w:type="dxa"/>
            <w:vMerge w:val="continue"/>
            <w:vAlign w:val="center"/>
          </w:tcPr>
          <w:p w14:paraId="3FE74879">
            <w:pPr>
              <w:jc w:val="center"/>
              <w:rPr>
                <w:szCs w:val="21"/>
              </w:rPr>
            </w:pPr>
          </w:p>
        </w:tc>
        <w:tc>
          <w:tcPr>
            <w:tcW w:w="750" w:type="dxa"/>
            <w:vMerge w:val="restart"/>
            <w:vAlign w:val="center"/>
          </w:tcPr>
          <w:p w14:paraId="4BF6CB22">
            <w:pPr>
              <w:jc w:val="center"/>
              <w:rPr>
                <w:szCs w:val="21"/>
              </w:rPr>
            </w:pPr>
            <w:r>
              <w:rPr>
                <w:szCs w:val="21"/>
              </w:rPr>
              <w:t>绩效目标</w:t>
            </w:r>
          </w:p>
        </w:tc>
        <w:tc>
          <w:tcPr>
            <w:tcW w:w="1065" w:type="dxa"/>
            <w:vAlign w:val="center"/>
          </w:tcPr>
          <w:p w14:paraId="522DEF89">
            <w:pPr>
              <w:jc w:val="center"/>
              <w:rPr>
                <w:szCs w:val="21"/>
              </w:rPr>
            </w:pPr>
            <w:r>
              <w:rPr>
                <w:szCs w:val="21"/>
              </w:rPr>
              <w:t>绩效目标合理性</w:t>
            </w:r>
          </w:p>
        </w:tc>
        <w:tc>
          <w:tcPr>
            <w:tcW w:w="975" w:type="dxa"/>
            <w:vAlign w:val="center"/>
          </w:tcPr>
          <w:p w14:paraId="1B1AB49E">
            <w:pPr>
              <w:jc w:val="center"/>
              <w:rPr>
                <w:szCs w:val="21"/>
              </w:rPr>
            </w:pPr>
            <w:r>
              <w:rPr>
                <w:rFonts w:hint="eastAsia" w:ascii="宋体" w:hAnsi="宋体" w:cs="宋体"/>
                <w:kern w:val="0"/>
                <w:szCs w:val="21"/>
              </w:rPr>
              <w:t>合理</w:t>
            </w:r>
          </w:p>
        </w:tc>
        <w:tc>
          <w:tcPr>
            <w:tcW w:w="3698" w:type="dxa"/>
            <w:vAlign w:val="center"/>
          </w:tcPr>
          <w:p w14:paraId="052BC868">
            <w:pPr>
              <w:rPr>
                <w:rFonts w:hint="eastAsia"/>
              </w:rPr>
            </w:pPr>
            <w:r>
              <w:rPr>
                <w:rFonts w:hint="eastAsia"/>
              </w:rPr>
              <w:t>①项目是否有绩效目标；</w:t>
            </w:r>
          </w:p>
          <w:p w14:paraId="3A885497">
            <w:pPr>
              <w:rPr>
                <w:rFonts w:hint="eastAsia"/>
              </w:rPr>
            </w:pPr>
            <w:r>
              <w:rPr>
                <w:rFonts w:hint="eastAsia"/>
              </w:rPr>
              <w:t>②项目绩效目标与实际工作内容是否具有相关性；</w:t>
            </w:r>
          </w:p>
          <w:p w14:paraId="211F1C3C">
            <w:pPr>
              <w:rPr>
                <w:rFonts w:hint="eastAsia"/>
              </w:rPr>
            </w:pPr>
            <w:r>
              <w:rPr>
                <w:rFonts w:hint="eastAsia"/>
              </w:rPr>
              <w:t>③项目预期产出效益和效果是否符合正常的业绩水平；</w:t>
            </w:r>
          </w:p>
          <w:p w14:paraId="19E83044">
            <w:pPr>
              <w:rPr>
                <w:szCs w:val="21"/>
              </w:rPr>
            </w:pPr>
            <w:r>
              <w:rPr>
                <w:rFonts w:hint="eastAsia"/>
              </w:rPr>
              <w:t>④是否与预算确定的项目投资额或资金量相匹配。</w:t>
            </w:r>
          </w:p>
        </w:tc>
        <w:tc>
          <w:tcPr>
            <w:tcW w:w="610" w:type="dxa"/>
            <w:vAlign w:val="center"/>
          </w:tcPr>
          <w:p w14:paraId="131D5DE3">
            <w:pPr>
              <w:jc w:val="center"/>
              <w:rPr>
                <w:rFonts w:hint="default" w:eastAsiaTheme="minorEastAsia"/>
                <w:szCs w:val="21"/>
                <w:lang w:val="en-US" w:eastAsia="zh-CN"/>
              </w:rPr>
            </w:pPr>
            <w:r>
              <w:rPr>
                <w:rFonts w:hint="eastAsia"/>
                <w:szCs w:val="21"/>
                <w:lang w:val="en-US" w:eastAsia="zh-CN"/>
              </w:rPr>
              <w:t>2</w:t>
            </w:r>
          </w:p>
        </w:tc>
        <w:tc>
          <w:tcPr>
            <w:tcW w:w="2712" w:type="dxa"/>
            <w:vAlign w:val="center"/>
          </w:tcPr>
          <w:p w14:paraId="0376A5F8">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要点各占25%权重，每个要点执行情况分达成、部分达成、未达成三档，按100%-80%（含）、80%-60%（含）、60%-0%评分。</w:t>
            </w:r>
          </w:p>
        </w:tc>
        <w:tc>
          <w:tcPr>
            <w:tcW w:w="806" w:type="dxa"/>
            <w:vAlign w:val="center"/>
          </w:tcPr>
          <w:p w14:paraId="5FB117F3">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657E3D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jc w:val="center"/>
        </w:trPr>
        <w:tc>
          <w:tcPr>
            <w:tcW w:w="792" w:type="dxa"/>
            <w:vMerge w:val="continue"/>
            <w:vAlign w:val="center"/>
          </w:tcPr>
          <w:p w14:paraId="56A3B842">
            <w:pPr>
              <w:jc w:val="center"/>
              <w:rPr>
                <w:szCs w:val="21"/>
              </w:rPr>
            </w:pPr>
          </w:p>
        </w:tc>
        <w:tc>
          <w:tcPr>
            <w:tcW w:w="750" w:type="dxa"/>
            <w:vMerge w:val="continue"/>
            <w:vAlign w:val="center"/>
          </w:tcPr>
          <w:p w14:paraId="076EED55">
            <w:pPr>
              <w:jc w:val="center"/>
              <w:rPr>
                <w:szCs w:val="21"/>
              </w:rPr>
            </w:pPr>
          </w:p>
        </w:tc>
        <w:tc>
          <w:tcPr>
            <w:tcW w:w="1065" w:type="dxa"/>
            <w:vAlign w:val="center"/>
          </w:tcPr>
          <w:p w14:paraId="2092B7FF">
            <w:pPr>
              <w:jc w:val="center"/>
              <w:rPr>
                <w:szCs w:val="21"/>
              </w:rPr>
            </w:pPr>
            <w:r>
              <w:rPr>
                <w:szCs w:val="21"/>
              </w:rPr>
              <w:t>绩效指标明确性</w:t>
            </w:r>
          </w:p>
        </w:tc>
        <w:tc>
          <w:tcPr>
            <w:tcW w:w="975" w:type="dxa"/>
            <w:vAlign w:val="center"/>
          </w:tcPr>
          <w:p w14:paraId="250D0070">
            <w:pPr>
              <w:jc w:val="center"/>
              <w:rPr>
                <w:szCs w:val="21"/>
              </w:rPr>
            </w:pPr>
            <w:r>
              <w:rPr>
                <w:rFonts w:hint="eastAsia"/>
                <w:szCs w:val="21"/>
              </w:rPr>
              <w:t>明确</w:t>
            </w:r>
          </w:p>
        </w:tc>
        <w:tc>
          <w:tcPr>
            <w:tcW w:w="3698" w:type="dxa"/>
            <w:vAlign w:val="center"/>
          </w:tcPr>
          <w:p w14:paraId="6D33EBC9">
            <w:pPr>
              <w:rPr>
                <w:rFonts w:hint="eastAsia"/>
                <w:szCs w:val="21"/>
              </w:rPr>
            </w:pPr>
            <w:r>
              <w:rPr>
                <w:rFonts w:hint="eastAsia"/>
                <w:szCs w:val="21"/>
              </w:rPr>
              <w:t>①是否将项目绩效目标细化分解为具体的绩效指标；</w:t>
            </w:r>
          </w:p>
          <w:p w14:paraId="31421068">
            <w:pPr>
              <w:rPr>
                <w:rFonts w:hint="eastAsia"/>
                <w:szCs w:val="21"/>
              </w:rPr>
            </w:pPr>
            <w:r>
              <w:rPr>
                <w:rFonts w:hint="eastAsia"/>
                <w:szCs w:val="21"/>
              </w:rPr>
              <w:t>②是否通过清晰、可衡量的指标值予以体现；</w:t>
            </w:r>
          </w:p>
          <w:p w14:paraId="500A9CD3">
            <w:pPr>
              <w:rPr>
                <w:rFonts w:hint="eastAsia" w:eastAsiaTheme="minorEastAsia"/>
                <w:szCs w:val="21"/>
                <w:lang w:val="en-US" w:eastAsia="zh-CN"/>
              </w:rPr>
            </w:pPr>
            <w:r>
              <w:rPr>
                <w:rFonts w:hint="eastAsia"/>
                <w:szCs w:val="21"/>
              </w:rPr>
              <w:t>③是否与项目目标任务数或计划数相对应。</w:t>
            </w:r>
          </w:p>
        </w:tc>
        <w:tc>
          <w:tcPr>
            <w:tcW w:w="610" w:type="dxa"/>
            <w:vAlign w:val="center"/>
          </w:tcPr>
          <w:p w14:paraId="5C976B53">
            <w:pPr>
              <w:jc w:val="center"/>
              <w:rPr>
                <w:rFonts w:hint="default" w:eastAsiaTheme="minorEastAsia"/>
                <w:szCs w:val="21"/>
                <w:lang w:val="en-US" w:eastAsia="zh-CN"/>
              </w:rPr>
            </w:pPr>
            <w:r>
              <w:rPr>
                <w:rFonts w:hint="eastAsia"/>
                <w:szCs w:val="21"/>
                <w:lang w:val="en-US" w:eastAsia="zh-CN"/>
              </w:rPr>
              <w:t>2</w:t>
            </w:r>
          </w:p>
        </w:tc>
        <w:tc>
          <w:tcPr>
            <w:tcW w:w="2712" w:type="dxa"/>
            <w:vAlign w:val="center"/>
          </w:tcPr>
          <w:p w14:paraId="620EAA9A">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要点各占1/3权重，每个要点执行情况分达成、部分达成、未达成三档，按100%-80%（含）、80%-60%（含）、60%-0%评分。</w:t>
            </w:r>
          </w:p>
        </w:tc>
        <w:tc>
          <w:tcPr>
            <w:tcW w:w="806" w:type="dxa"/>
            <w:vAlign w:val="center"/>
          </w:tcPr>
          <w:p w14:paraId="0D47911A">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67C2A7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7" w:hRule="atLeast"/>
          <w:jc w:val="center"/>
        </w:trPr>
        <w:tc>
          <w:tcPr>
            <w:tcW w:w="792" w:type="dxa"/>
            <w:vMerge w:val="continue"/>
            <w:vAlign w:val="center"/>
          </w:tcPr>
          <w:p w14:paraId="6984F5AF">
            <w:pPr>
              <w:jc w:val="center"/>
              <w:rPr>
                <w:szCs w:val="21"/>
              </w:rPr>
            </w:pPr>
          </w:p>
        </w:tc>
        <w:tc>
          <w:tcPr>
            <w:tcW w:w="750" w:type="dxa"/>
            <w:vMerge w:val="restart"/>
            <w:vAlign w:val="center"/>
          </w:tcPr>
          <w:p w14:paraId="11FFD051">
            <w:pPr>
              <w:jc w:val="center"/>
              <w:rPr>
                <w:szCs w:val="21"/>
              </w:rPr>
            </w:pPr>
            <w:r>
              <w:rPr>
                <w:szCs w:val="21"/>
              </w:rPr>
              <w:t>资金投入</w:t>
            </w:r>
          </w:p>
        </w:tc>
        <w:tc>
          <w:tcPr>
            <w:tcW w:w="1065" w:type="dxa"/>
            <w:vAlign w:val="center"/>
          </w:tcPr>
          <w:p w14:paraId="539AAD47">
            <w:pPr>
              <w:jc w:val="center"/>
              <w:rPr>
                <w:szCs w:val="21"/>
              </w:rPr>
            </w:pPr>
            <w:r>
              <w:rPr>
                <w:szCs w:val="21"/>
              </w:rPr>
              <w:t>预算编制科学性</w:t>
            </w:r>
          </w:p>
        </w:tc>
        <w:tc>
          <w:tcPr>
            <w:tcW w:w="975" w:type="dxa"/>
            <w:vAlign w:val="center"/>
          </w:tcPr>
          <w:p w14:paraId="65EB570F">
            <w:pPr>
              <w:jc w:val="center"/>
              <w:rPr>
                <w:szCs w:val="21"/>
              </w:rPr>
            </w:pPr>
            <w:r>
              <w:rPr>
                <w:rFonts w:hint="eastAsia"/>
                <w:szCs w:val="21"/>
              </w:rPr>
              <w:t>科学</w:t>
            </w:r>
          </w:p>
        </w:tc>
        <w:tc>
          <w:tcPr>
            <w:tcW w:w="3698" w:type="dxa"/>
            <w:vAlign w:val="center"/>
          </w:tcPr>
          <w:p w14:paraId="73CC2DAB">
            <w:pPr>
              <w:rPr>
                <w:rFonts w:hint="eastAsia"/>
                <w:szCs w:val="21"/>
              </w:rPr>
            </w:pPr>
            <w:r>
              <w:rPr>
                <w:rFonts w:hint="eastAsia"/>
                <w:szCs w:val="21"/>
              </w:rPr>
              <w:t>①预算编制是否经过科学论证；</w:t>
            </w:r>
          </w:p>
          <w:p w14:paraId="6750BA37">
            <w:pPr>
              <w:rPr>
                <w:rFonts w:hint="eastAsia"/>
                <w:szCs w:val="21"/>
              </w:rPr>
            </w:pPr>
            <w:r>
              <w:rPr>
                <w:rFonts w:hint="eastAsia"/>
                <w:szCs w:val="21"/>
              </w:rPr>
              <w:t>②预算内容与项目内容是否匹配；</w:t>
            </w:r>
          </w:p>
          <w:p w14:paraId="3272E9A2">
            <w:pPr>
              <w:rPr>
                <w:rFonts w:hint="eastAsia"/>
                <w:szCs w:val="21"/>
              </w:rPr>
            </w:pPr>
            <w:r>
              <w:rPr>
                <w:rFonts w:hint="eastAsia"/>
                <w:szCs w:val="21"/>
              </w:rPr>
              <w:t>③预算额度测算依据是否充分，是否按照标准编制；</w:t>
            </w:r>
          </w:p>
          <w:p w14:paraId="7D773F0D">
            <w:pPr>
              <w:rPr>
                <w:szCs w:val="21"/>
              </w:rPr>
            </w:pPr>
            <w:r>
              <w:rPr>
                <w:rFonts w:hint="eastAsia"/>
                <w:szCs w:val="21"/>
              </w:rPr>
              <w:t>④预算确定的项目投资额或资金量是否与工作任务相匹配。</w:t>
            </w:r>
          </w:p>
        </w:tc>
        <w:tc>
          <w:tcPr>
            <w:tcW w:w="610" w:type="dxa"/>
            <w:vAlign w:val="center"/>
          </w:tcPr>
          <w:p w14:paraId="2513AA99">
            <w:pPr>
              <w:jc w:val="center"/>
              <w:rPr>
                <w:szCs w:val="21"/>
              </w:rPr>
            </w:pPr>
            <w:r>
              <w:rPr>
                <w:rFonts w:hint="eastAsia"/>
                <w:szCs w:val="21"/>
              </w:rPr>
              <w:t>2</w:t>
            </w:r>
          </w:p>
        </w:tc>
        <w:tc>
          <w:tcPr>
            <w:tcW w:w="2712" w:type="dxa"/>
            <w:vAlign w:val="center"/>
          </w:tcPr>
          <w:p w14:paraId="14C524C3">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要点各占25%权重，每个要点执行情况分达成、部分达成、未达成三档，按100%-80%（含）、80%-60%（含）、60%-0%评分。</w:t>
            </w:r>
          </w:p>
        </w:tc>
        <w:tc>
          <w:tcPr>
            <w:tcW w:w="806" w:type="dxa"/>
            <w:vAlign w:val="center"/>
          </w:tcPr>
          <w:p w14:paraId="11E5EBFE">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1497B4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6" w:hRule="atLeast"/>
          <w:jc w:val="center"/>
        </w:trPr>
        <w:tc>
          <w:tcPr>
            <w:tcW w:w="792" w:type="dxa"/>
            <w:vMerge w:val="continue"/>
            <w:vAlign w:val="center"/>
          </w:tcPr>
          <w:p w14:paraId="72AD00A0">
            <w:pPr>
              <w:jc w:val="center"/>
              <w:rPr>
                <w:szCs w:val="21"/>
              </w:rPr>
            </w:pPr>
          </w:p>
        </w:tc>
        <w:tc>
          <w:tcPr>
            <w:tcW w:w="750" w:type="dxa"/>
            <w:vMerge w:val="continue"/>
            <w:vAlign w:val="center"/>
          </w:tcPr>
          <w:p w14:paraId="798694C1">
            <w:pPr>
              <w:jc w:val="center"/>
              <w:rPr>
                <w:szCs w:val="21"/>
              </w:rPr>
            </w:pPr>
          </w:p>
        </w:tc>
        <w:tc>
          <w:tcPr>
            <w:tcW w:w="1065" w:type="dxa"/>
            <w:vAlign w:val="center"/>
          </w:tcPr>
          <w:p w14:paraId="52B3205F">
            <w:pPr>
              <w:jc w:val="center"/>
              <w:rPr>
                <w:szCs w:val="21"/>
              </w:rPr>
            </w:pPr>
            <w:r>
              <w:rPr>
                <w:szCs w:val="21"/>
              </w:rPr>
              <w:t>资金分配合理性</w:t>
            </w:r>
          </w:p>
        </w:tc>
        <w:tc>
          <w:tcPr>
            <w:tcW w:w="975" w:type="dxa"/>
            <w:vAlign w:val="center"/>
          </w:tcPr>
          <w:p w14:paraId="3120AEE4">
            <w:pPr>
              <w:jc w:val="center"/>
              <w:rPr>
                <w:szCs w:val="21"/>
              </w:rPr>
            </w:pPr>
            <w:r>
              <w:rPr>
                <w:rFonts w:hint="eastAsia"/>
                <w:szCs w:val="21"/>
              </w:rPr>
              <w:t>合理</w:t>
            </w:r>
          </w:p>
        </w:tc>
        <w:tc>
          <w:tcPr>
            <w:tcW w:w="3698" w:type="dxa"/>
            <w:vAlign w:val="center"/>
          </w:tcPr>
          <w:p w14:paraId="654426EB">
            <w:pPr>
              <w:rPr>
                <w:rFonts w:hint="eastAsia"/>
                <w:szCs w:val="21"/>
              </w:rPr>
            </w:pPr>
            <w:r>
              <w:rPr>
                <w:rFonts w:hint="eastAsia"/>
                <w:szCs w:val="21"/>
              </w:rPr>
              <w:t xml:space="preserve"> ①预算资金分配依据是否充分；</w:t>
            </w:r>
          </w:p>
          <w:p w14:paraId="2C9285F2">
            <w:pPr>
              <w:rPr>
                <w:szCs w:val="21"/>
              </w:rPr>
            </w:pPr>
            <w:r>
              <w:rPr>
                <w:rFonts w:hint="eastAsia"/>
                <w:szCs w:val="21"/>
              </w:rPr>
              <w:t xml:space="preserve"> ②资金分配额度是否合理，与项目单位或地方实际是否相适应。</w:t>
            </w:r>
          </w:p>
        </w:tc>
        <w:tc>
          <w:tcPr>
            <w:tcW w:w="610" w:type="dxa"/>
            <w:vAlign w:val="center"/>
          </w:tcPr>
          <w:p w14:paraId="33FC542E">
            <w:pPr>
              <w:jc w:val="center"/>
              <w:rPr>
                <w:szCs w:val="21"/>
              </w:rPr>
            </w:pPr>
            <w:r>
              <w:rPr>
                <w:rFonts w:hint="eastAsia"/>
                <w:szCs w:val="21"/>
              </w:rPr>
              <w:t>2</w:t>
            </w:r>
          </w:p>
        </w:tc>
        <w:tc>
          <w:tcPr>
            <w:tcW w:w="2712" w:type="dxa"/>
            <w:vAlign w:val="center"/>
          </w:tcPr>
          <w:p w14:paraId="3A75AE80">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要点各占50%权重，每个要点执行情况分达成、部分达成、未达成三档，按100%-80%（含）、80%-60%（含）、60%-0%评分。</w:t>
            </w:r>
          </w:p>
        </w:tc>
        <w:tc>
          <w:tcPr>
            <w:tcW w:w="806" w:type="dxa"/>
            <w:vAlign w:val="center"/>
          </w:tcPr>
          <w:p w14:paraId="673C31B4">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6567B3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52" w:hRule="atLeast"/>
          <w:jc w:val="center"/>
        </w:trPr>
        <w:tc>
          <w:tcPr>
            <w:tcW w:w="792" w:type="dxa"/>
            <w:vMerge w:val="restart"/>
            <w:vAlign w:val="center"/>
          </w:tcPr>
          <w:p w14:paraId="1F5998F8">
            <w:pPr>
              <w:jc w:val="center"/>
              <w:rPr>
                <w:rFonts w:hint="eastAsia" w:eastAsiaTheme="minorEastAsia"/>
                <w:szCs w:val="21"/>
                <w:lang w:val="en-US" w:eastAsia="zh-CN"/>
              </w:rPr>
            </w:pPr>
            <w:r>
              <w:rPr>
                <w:szCs w:val="21"/>
              </w:rPr>
              <w:t>过程</w:t>
            </w:r>
            <w:r>
              <w:rPr>
                <w:rFonts w:hint="eastAsia"/>
                <w:szCs w:val="21"/>
                <w:lang w:val="en-US" w:eastAsia="zh-CN"/>
              </w:rPr>
              <w:t>指标</w:t>
            </w:r>
          </w:p>
          <w:p w14:paraId="10CE3C2B">
            <w:pPr>
              <w:jc w:val="center"/>
              <w:rPr>
                <w:szCs w:val="21"/>
              </w:rPr>
            </w:pPr>
            <w:r>
              <w:rPr>
                <w:rFonts w:hint="eastAsia"/>
                <w:szCs w:val="21"/>
              </w:rPr>
              <w:t>（1</w:t>
            </w:r>
            <w:r>
              <w:rPr>
                <w:rFonts w:hint="eastAsia"/>
                <w:szCs w:val="21"/>
                <w:lang w:val="en-US" w:eastAsia="zh-CN"/>
              </w:rPr>
              <w:t>8</w:t>
            </w:r>
            <w:r>
              <w:rPr>
                <w:rFonts w:hint="eastAsia"/>
                <w:szCs w:val="21"/>
              </w:rPr>
              <w:t>分）</w:t>
            </w:r>
          </w:p>
          <w:p w14:paraId="2C45B301">
            <w:pPr>
              <w:rPr>
                <w:rFonts w:hint="eastAsia" w:eastAsiaTheme="minorEastAsia"/>
                <w:szCs w:val="21"/>
                <w:lang w:val="en-US" w:eastAsia="zh-CN"/>
              </w:rPr>
            </w:pPr>
          </w:p>
        </w:tc>
        <w:tc>
          <w:tcPr>
            <w:tcW w:w="750" w:type="dxa"/>
            <w:vMerge w:val="restart"/>
            <w:vAlign w:val="center"/>
          </w:tcPr>
          <w:p w14:paraId="439C13A3">
            <w:pPr>
              <w:jc w:val="center"/>
              <w:rPr>
                <w:szCs w:val="21"/>
              </w:rPr>
            </w:pPr>
            <w:r>
              <w:rPr>
                <w:szCs w:val="21"/>
              </w:rPr>
              <w:t>资金管理</w:t>
            </w:r>
          </w:p>
        </w:tc>
        <w:tc>
          <w:tcPr>
            <w:tcW w:w="1065" w:type="dxa"/>
            <w:shd w:val="clear" w:color="auto" w:fill="auto"/>
            <w:vAlign w:val="center"/>
          </w:tcPr>
          <w:p w14:paraId="4905EF5E">
            <w:pPr>
              <w:jc w:val="center"/>
              <w:rPr>
                <w:color w:val="auto"/>
                <w:szCs w:val="21"/>
              </w:rPr>
            </w:pPr>
            <w:r>
              <w:rPr>
                <w:color w:val="auto"/>
                <w:szCs w:val="21"/>
              </w:rPr>
              <w:t>预算</w:t>
            </w:r>
          </w:p>
          <w:p w14:paraId="6095CAD0">
            <w:pPr>
              <w:jc w:val="center"/>
              <w:rPr>
                <w:rFonts w:asciiTheme="minorHAnsi" w:hAnsiTheme="minorHAnsi" w:eastAsiaTheme="minorEastAsia" w:cstheme="minorBidi"/>
                <w:color w:val="auto"/>
                <w:kern w:val="2"/>
                <w:sz w:val="21"/>
                <w:szCs w:val="21"/>
                <w:lang w:val="en-US" w:eastAsia="zh-CN" w:bidi="ar-SA"/>
              </w:rPr>
            </w:pPr>
            <w:r>
              <w:rPr>
                <w:color w:val="auto"/>
                <w:szCs w:val="21"/>
              </w:rPr>
              <w:t>执行率</w:t>
            </w:r>
          </w:p>
        </w:tc>
        <w:tc>
          <w:tcPr>
            <w:tcW w:w="975" w:type="dxa"/>
            <w:shd w:val="clear" w:color="auto" w:fill="auto"/>
            <w:vAlign w:val="center"/>
          </w:tcPr>
          <w:p w14:paraId="2A0CAC67">
            <w:pPr>
              <w:jc w:val="center"/>
              <w:rPr>
                <w:rFonts w:asciiTheme="minorHAnsi" w:hAnsiTheme="minorHAnsi" w:eastAsiaTheme="minorEastAsia" w:cstheme="minorBidi"/>
                <w:color w:val="auto"/>
                <w:kern w:val="2"/>
                <w:sz w:val="21"/>
                <w:szCs w:val="21"/>
                <w:lang w:val="en-US" w:eastAsia="zh-CN" w:bidi="ar-SA"/>
              </w:rPr>
            </w:pPr>
            <w:r>
              <w:rPr>
                <w:rFonts w:hint="eastAsia"/>
                <w:color w:val="auto"/>
                <w:szCs w:val="21"/>
              </w:rPr>
              <w:t>1</w:t>
            </w:r>
            <w:r>
              <w:rPr>
                <w:rFonts w:hint="eastAsia"/>
                <w:color w:val="auto"/>
                <w:szCs w:val="21"/>
                <w:lang w:val="en-US" w:eastAsia="zh-CN"/>
              </w:rPr>
              <w:t>8.17</w:t>
            </w:r>
            <w:r>
              <w:rPr>
                <w:rFonts w:hint="eastAsia"/>
                <w:color w:val="auto"/>
                <w:szCs w:val="21"/>
              </w:rPr>
              <w:t>%</w:t>
            </w:r>
          </w:p>
        </w:tc>
        <w:tc>
          <w:tcPr>
            <w:tcW w:w="3698" w:type="dxa"/>
            <w:shd w:val="clear" w:color="auto" w:fill="auto"/>
            <w:vAlign w:val="center"/>
          </w:tcPr>
          <w:p w14:paraId="303520E7">
            <w:pPr>
              <w:rPr>
                <w:rFonts w:hint="eastAsia"/>
                <w:color w:val="auto"/>
                <w:szCs w:val="21"/>
              </w:rPr>
            </w:pPr>
            <w:r>
              <w:rPr>
                <w:rFonts w:hint="eastAsia"/>
                <w:color w:val="auto"/>
                <w:szCs w:val="21"/>
              </w:rPr>
              <w:t>预算执行率=（实际支出资金/实际到位资金）×100%。</w:t>
            </w:r>
          </w:p>
          <w:p w14:paraId="7A00AAD1">
            <w:pPr>
              <w:rPr>
                <w:rFonts w:asciiTheme="minorHAnsi" w:hAnsiTheme="minorHAnsi" w:eastAsiaTheme="minorEastAsia" w:cstheme="minorBidi"/>
                <w:color w:val="auto"/>
                <w:kern w:val="2"/>
                <w:sz w:val="21"/>
                <w:szCs w:val="21"/>
                <w:lang w:val="en-US" w:eastAsia="zh-CN" w:bidi="ar-SA"/>
              </w:rPr>
            </w:pPr>
            <w:r>
              <w:rPr>
                <w:rFonts w:hint="eastAsia"/>
                <w:color w:val="auto"/>
                <w:szCs w:val="21"/>
              </w:rPr>
              <w:t>实际支出资金：一定时期（本年度或项目期）内项目实际拨付的资金。</w:t>
            </w:r>
          </w:p>
        </w:tc>
        <w:tc>
          <w:tcPr>
            <w:tcW w:w="610" w:type="dxa"/>
            <w:shd w:val="clear" w:color="auto" w:fill="auto"/>
            <w:vAlign w:val="center"/>
          </w:tcPr>
          <w:p w14:paraId="28E55568">
            <w:pPr>
              <w:jc w:val="center"/>
              <w:rPr>
                <w:rFonts w:hint="default" w:asciiTheme="minorHAnsi" w:hAnsiTheme="minorHAnsi" w:eastAsiaTheme="minorEastAsia" w:cstheme="minorBidi"/>
                <w:color w:val="auto"/>
                <w:kern w:val="2"/>
                <w:sz w:val="21"/>
                <w:szCs w:val="21"/>
                <w:lang w:val="en-US" w:eastAsia="zh-CN" w:bidi="ar-SA"/>
              </w:rPr>
            </w:pPr>
            <w:r>
              <w:rPr>
                <w:rFonts w:hint="eastAsia" w:cstheme="minorBidi"/>
                <w:color w:val="auto"/>
                <w:kern w:val="2"/>
                <w:sz w:val="21"/>
                <w:szCs w:val="21"/>
                <w:lang w:val="en-US" w:eastAsia="zh-CN" w:bidi="ar-SA"/>
              </w:rPr>
              <w:t>3</w:t>
            </w:r>
          </w:p>
        </w:tc>
        <w:tc>
          <w:tcPr>
            <w:tcW w:w="2712" w:type="dxa"/>
            <w:shd w:val="clear" w:color="auto" w:fill="auto"/>
            <w:vAlign w:val="center"/>
          </w:tcPr>
          <w:p w14:paraId="5EBD0A0E">
            <w:pPr>
              <w:jc w:val="left"/>
              <w:rPr>
                <w:rFonts w:hint="default" w:asciiTheme="minorHAnsi" w:hAnsiTheme="minorHAnsi" w:eastAsiaTheme="minorEastAsia" w:cstheme="minorBidi"/>
                <w:color w:val="auto"/>
                <w:kern w:val="2"/>
                <w:sz w:val="21"/>
                <w:szCs w:val="21"/>
                <w:lang w:val="en-US" w:eastAsia="zh-CN" w:bidi="ar-SA"/>
              </w:rPr>
            </w:pPr>
            <w:r>
              <w:rPr>
                <w:rFonts w:hint="eastAsia"/>
                <w:color w:val="auto"/>
                <w:szCs w:val="21"/>
                <w:lang w:val="en-US" w:eastAsia="zh-CN"/>
              </w:rPr>
              <w:t>得分=预算执行率×分值。</w:t>
            </w:r>
          </w:p>
        </w:tc>
        <w:tc>
          <w:tcPr>
            <w:tcW w:w="806" w:type="dxa"/>
            <w:shd w:val="clear" w:color="auto" w:fill="auto"/>
            <w:vAlign w:val="center"/>
          </w:tcPr>
          <w:p w14:paraId="1AE6F5D4">
            <w:pPr>
              <w:jc w:val="center"/>
              <w:rPr>
                <w:rFonts w:hint="default" w:asciiTheme="minorHAnsi" w:hAnsiTheme="minorHAnsi" w:eastAsiaTheme="minorEastAsia" w:cstheme="minorBidi"/>
                <w:color w:val="auto"/>
                <w:kern w:val="2"/>
                <w:sz w:val="21"/>
                <w:szCs w:val="21"/>
                <w:lang w:val="en-US" w:eastAsia="zh-CN" w:bidi="ar-SA"/>
              </w:rPr>
            </w:pPr>
            <w:r>
              <w:rPr>
                <w:rFonts w:hint="eastAsia" w:cstheme="minorBidi"/>
                <w:color w:val="auto"/>
                <w:kern w:val="2"/>
                <w:sz w:val="21"/>
                <w:szCs w:val="21"/>
                <w:lang w:val="en-US" w:eastAsia="zh-CN" w:bidi="ar-SA"/>
              </w:rPr>
              <w:t>0.55</w:t>
            </w:r>
          </w:p>
        </w:tc>
      </w:tr>
      <w:tr w14:paraId="7FDF55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22" w:hRule="atLeast"/>
          <w:jc w:val="center"/>
        </w:trPr>
        <w:tc>
          <w:tcPr>
            <w:tcW w:w="792" w:type="dxa"/>
            <w:vMerge w:val="continue"/>
            <w:vAlign w:val="center"/>
          </w:tcPr>
          <w:p w14:paraId="6D4B7EE3">
            <w:pPr>
              <w:jc w:val="center"/>
              <w:rPr>
                <w:szCs w:val="21"/>
              </w:rPr>
            </w:pPr>
          </w:p>
        </w:tc>
        <w:tc>
          <w:tcPr>
            <w:tcW w:w="750" w:type="dxa"/>
            <w:vMerge w:val="continue"/>
            <w:vAlign w:val="center"/>
          </w:tcPr>
          <w:p w14:paraId="04E548CB">
            <w:pPr>
              <w:jc w:val="center"/>
              <w:rPr>
                <w:szCs w:val="21"/>
              </w:rPr>
            </w:pPr>
          </w:p>
        </w:tc>
        <w:tc>
          <w:tcPr>
            <w:tcW w:w="1065" w:type="dxa"/>
            <w:shd w:val="clear" w:color="auto" w:fill="auto"/>
            <w:vAlign w:val="center"/>
          </w:tcPr>
          <w:p w14:paraId="0236378E">
            <w:pPr>
              <w:jc w:val="center"/>
              <w:rPr>
                <w:color w:val="auto"/>
                <w:szCs w:val="21"/>
              </w:rPr>
            </w:pPr>
            <w:r>
              <w:rPr>
                <w:color w:val="auto"/>
                <w:szCs w:val="21"/>
              </w:rPr>
              <w:t>资金</w:t>
            </w:r>
          </w:p>
          <w:p w14:paraId="24107F8D">
            <w:pPr>
              <w:jc w:val="center"/>
              <w:rPr>
                <w:rFonts w:asciiTheme="minorHAnsi" w:hAnsiTheme="minorHAnsi" w:eastAsiaTheme="minorEastAsia" w:cstheme="minorBidi"/>
                <w:color w:val="auto"/>
                <w:kern w:val="2"/>
                <w:sz w:val="21"/>
                <w:szCs w:val="21"/>
                <w:lang w:val="en-US" w:eastAsia="zh-CN" w:bidi="ar-SA"/>
              </w:rPr>
            </w:pPr>
            <w:r>
              <w:rPr>
                <w:color w:val="auto"/>
                <w:szCs w:val="21"/>
              </w:rPr>
              <w:t>到位率</w:t>
            </w:r>
          </w:p>
        </w:tc>
        <w:tc>
          <w:tcPr>
            <w:tcW w:w="975" w:type="dxa"/>
            <w:shd w:val="clear" w:color="auto" w:fill="auto"/>
            <w:vAlign w:val="center"/>
          </w:tcPr>
          <w:p w14:paraId="537F232B">
            <w:pPr>
              <w:jc w:val="center"/>
              <w:rPr>
                <w:rFonts w:asciiTheme="minorHAnsi" w:hAnsiTheme="minorHAnsi" w:eastAsiaTheme="minorEastAsia" w:cstheme="minorBidi"/>
                <w:color w:val="auto"/>
                <w:kern w:val="2"/>
                <w:sz w:val="21"/>
                <w:szCs w:val="21"/>
                <w:lang w:val="en-US" w:eastAsia="zh-CN" w:bidi="ar-SA"/>
              </w:rPr>
            </w:pPr>
            <w:r>
              <w:rPr>
                <w:rFonts w:hint="eastAsia"/>
                <w:color w:val="auto"/>
                <w:szCs w:val="21"/>
              </w:rPr>
              <w:t>100%</w:t>
            </w:r>
          </w:p>
        </w:tc>
        <w:tc>
          <w:tcPr>
            <w:tcW w:w="3698" w:type="dxa"/>
            <w:shd w:val="clear" w:color="auto" w:fill="auto"/>
            <w:vAlign w:val="center"/>
          </w:tcPr>
          <w:p w14:paraId="692B15C8">
            <w:pPr>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资金到位率=（实际到位资金/预算资金）×100%。</w:t>
            </w:r>
          </w:p>
          <w:p w14:paraId="631EC71D">
            <w:pPr>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实际到位资金：一定时期（本年度或项目期）内落实到具体项目的资金。</w:t>
            </w:r>
          </w:p>
          <w:p w14:paraId="77825D8B">
            <w:pPr>
              <w:rPr>
                <w:rFonts w:asciiTheme="minorHAnsi" w:hAnsiTheme="minorHAnsi" w:eastAsiaTheme="minorEastAsia" w:cstheme="minorBidi"/>
                <w:color w:val="auto"/>
                <w:kern w:val="2"/>
                <w:sz w:val="21"/>
                <w:szCs w:val="21"/>
                <w:lang w:val="en-US" w:eastAsia="zh-CN" w:bidi="ar-SA"/>
              </w:rPr>
            </w:pPr>
            <w:r>
              <w:rPr>
                <w:rFonts w:hint="eastAsia" w:ascii="宋体" w:hAnsi="宋体" w:eastAsia="宋体" w:cs="宋体"/>
                <w:color w:val="auto"/>
                <w:szCs w:val="21"/>
                <w:lang w:val="en-US" w:eastAsia="zh-CN"/>
              </w:rPr>
              <w:t>预算资金：一定时期（本年度或项目期）内预算安排到具体项目的资金。</w:t>
            </w:r>
          </w:p>
        </w:tc>
        <w:tc>
          <w:tcPr>
            <w:tcW w:w="610" w:type="dxa"/>
            <w:shd w:val="clear" w:color="auto" w:fill="auto"/>
            <w:vAlign w:val="center"/>
          </w:tcPr>
          <w:p w14:paraId="2C556A32">
            <w:pPr>
              <w:jc w:val="center"/>
              <w:rPr>
                <w:rFonts w:hint="default" w:asciiTheme="minorHAnsi" w:hAnsiTheme="minorHAnsi" w:eastAsiaTheme="minorEastAsia" w:cstheme="minorBidi"/>
                <w:color w:val="auto"/>
                <w:kern w:val="2"/>
                <w:sz w:val="21"/>
                <w:szCs w:val="21"/>
                <w:lang w:val="en-US" w:eastAsia="zh-CN" w:bidi="ar-SA"/>
              </w:rPr>
            </w:pPr>
            <w:r>
              <w:rPr>
                <w:rFonts w:hint="eastAsia" w:cstheme="minorBidi"/>
                <w:color w:val="auto"/>
                <w:kern w:val="2"/>
                <w:sz w:val="21"/>
                <w:szCs w:val="21"/>
                <w:lang w:val="en-US" w:eastAsia="zh-CN" w:bidi="ar-SA"/>
              </w:rPr>
              <w:t>3</w:t>
            </w:r>
          </w:p>
        </w:tc>
        <w:tc>
          <w:tcPr>
            <w:tcW w:w="2712" w:type="dxa"/>
            <w:shd w:val="clear" w:color="auto" w:fill="auto"/>
            <w:vAlign w:val="center"/>
          </w:tcPr>
          <w:p w14:paraId="59060496">
            <w:pPr>
              <w:jc w:val="left"/>
              <w:rPr>
                <w:rFonts w:hint="default" w:asciiTheme="minorHAnsi" w:hAnsiTheme="minorHAnsi" w:eastAsiaTheme="minorEastAsia" w:cstheme="minorBidi"/>
                <w:color w:val="auto"/>
                <w:kern w:val="2"/>
                <w:sz w:val="21"/>
                <w:szCs w:val="21"/>
                <w:lang w:val="en-US" w:eastAsia="zh-CN" w:bidi="ar-SA"/>
              </w:rPr>
            </w:pPr>
            <w:r>
              <w:rPr>
                <w:rFonts w:hint="default" w:eastAsiaTheme="minorEastAsia"/>
                <w:color w:val="auto"/>
                <w:szCs w:val="21"/>
                <w:lang w:val="en-US" w:eastAsia="zh-CN"/>
              </w:rPr>
              <w:t>得分=资金到位率×分值</w:t>
            </w:r>
            <w:r>
              <w:rPr>
                <w:rFonts w:hint="eastAsia"/>
                <w:color w:val="auto"/>
                <w:szCs w:val="21"/>
                <w:lang w:val="en-US" w:eastAsia="zh-CN"/>
              </w:rPr>
              <w:t>。</w:t>
            </w:r>
          </w:p>
        </w:tc>
        <w:tc>
          <w:tcPr>
            <w:tcW w:w="806" w:type="dxa"/>
            <w:shd w:val="clear" w:color="auto" w:fill="auto"/>
            <w:vAlign w:val="center"/>
          </w:tcPr>
          <w:p w14:paraId="37591D54">
            <w:pPr>
              <w:jc w:val="center"/>
              <w:rPr>
                <w:rFonts w:hint="default" w:asciiTheme="minorHAnsi" w:hAnsiTheme="minorHAnsi" w:eastAsiaTheme="minorEastAsia" w:cstheme="minorBidi"/>
                <w:color w:val="auto"/>
                <w:kern w:val="2"/>
                <w:sz w:val="21"/>
                <w:szCs w:val="21"/>
                <w:lang w:val="en-US" w:eastAsia="zh-CN" w:bidi="ar-SA"/>
              </w:rPr>
            </w:pPr>
            <w:r>
              <w:rPr>
                <w:rFonts w:hint="eastAsia" w:cstheme="minorBidi"/>
                <w:color w:val="auto"/>
                <w:kern w:val="2"/>
                <w:sz w:val="21"/>
                <w:szCs w:val="21"/>
                <w:lang w:val="en-US" w:eastAsia="zh-CN" w:bidi="ar-SA"/>
              </w:rPr>
              <w:t>3</w:t>
            </w:r>
          </w:p>
        </w:tc>
      </w:tr>
      <w:tr w14:paraId="62EE67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63" w:hRule="atLeast"/>
          <w:jc w:val="center"/>
        </w:trPr>
        <w:tc>
          <w:tcPr>
            <w:tcW w:w="792" w:type="dxa"/>
            <w:vMerge w:val="continue"/>
            <w:vAlign w:val="center"/>
          </w:tcPr>
          <w:p w14:paraId="2E0BF2A2">
            <w:pPr>
              <w:jc w:val="center"/>
              <w:rPr>
                <w:szCs w:val="21"/>
              </w:rPr>
            </w:pPr>
          </w:p>
        </w:tc>
        <w:tc>
          <w:tcPr>
            <w:tcW w:w="750" w:type="dxa"/>
            <w:vMerge w:val="continue"/>
            <w:vAlign w:val="center"/>
          </w:tcPr>
          <w:p w14:paraId="0140A322">
            <w:pPr>
              <w:jc w:val="center"/>
              <w:rPr>
                <w:szCs w:val="21"/>
              </w:rPr>
            </w:pPr>
          </w:p>
        </w:tc>
        <w:tc>
          <w:tcPr>
            <w:tcW w:w="1065" w:type="dxa"/>
            <w:vAlign w:val="center"/>
          </w:tcPr>
          <w:p w14:paraId="149CE6E7">
            <w:pPr>
              <w:jc w:val="center"/>
              <w:rPr>
                <w:color w:val="FF0000"/>
                <w:szCs w:val="21"/>
              </w:rPr>
            </w:pPr>
            <w:r>
              <w:rPr>
                <w:color w:val="auto"/>
                <w:szCs w:val="21"/>
              </w:rPr>
              <w:t>资金使用合规性</w:t>
            </w:r>
          </w:p>
        </w:tc>
        <w:tc>
          <w:tcPr>
            <w:tcW w:w="975" w:type="dxa"/>
            <w:vAlign w:val="center"/>
          </w:tcPr>
          <w:p w14:paraId="4915FD34">
            <w:pPr>
              <w:jc w:val="center"/>
              <w:rPr>
                <w:rFonts w:hint="eastAsia" w:eastAsiaTheme="minorEastAsia"/>
                <w:szCs w:val="21"/>
                <w:lang w:val="en-US" w:eastAsia="zh-CN"/>
              </w:rPr>
            </w:pPr>
            <w:r>
              <w:rPr>
                <w:rFonts w:hint="eastAsia"/>
                <w:szCs w:val="21"/>
                <w:lang w:val="en-US" w:eastAsia="zh-CN"/>
              </w:rPr>
              <w:t>合规</w:t>
            </w:r>
          </w:p>
        </w:tc>
        <w:tc>
          <w:tcPr>
            <w:tcW w:w="3698" w:type="dxa"/>
            <w:vAlign w:val="center"/>
          </w:tcPr>
          <w:p w14:paraId="3B9F6752">
            <w:pPr>
              <w:rPr>
                <w:rFonts w:hint="eastAsia"/>
                <w:szCs w:val="21"/>
              </w:rPr>
            </w:pPr>
            <w:r>
              <w:rPr>
                <w:rFonts w:hint="eastAsia"/>
                <w:szCs w:val="21"/>
              </w:rPr>
              <w:t>①是否符合国家财经法规和财务管理制度以及有关专项资金管理办法的规定；</w:t>
            </w:r>
          </w:p>
          <w:p w14:paraId="55B5DE6E">
            <w:pPr>
              <w:rPr>
                <w:rFonts w:hint="eastAsia"/>
                <w:szCs w:val="21"/>
              </w:rPr>
            </w:pPr>
            <w:r>
              <w:rPr>
                <w:rFonts w:hint="eastAsia"/>
                <w:szCs w:val="21"/>
              </w:rPr>
              <w:t>②资金的拨付是否有完整的审批程序和手续；</w:t>
            </w:r>
          </w:p>
          <w:p w14:paraId="5938009F">
            <w:pPr>
              <w:rPr>
                <w:rFonts w:hint="eastAsia"/>
                <w:szCs w:val="21"/>
              </w:rPr>
            </w:pPr>
            <w:r>
              <w:rPr>
                <w:rFonts w:hint="eastAsia"/>
                <w:szCs w:val="21"/>
              </w:rPr>
              <w:t>③是否符合项目预算批复或合同规定的用途；</w:t>
            </w:r>
          </w:p>
          <w:p w14:paraId="774E34C8">
            <w:pPr>
              <w:rPr>
                <w:szCs w:val="21"/>
              </w:rPr>
            </w:pPr>
            <w:r>
              <w:rPr>
                <w:rFonts w:hint="eastAsia"/>
                <w:szCs w:val="21"/>
              </w:rPr>
              <w:t>④是否存在截留、挤占、挪用、虚列支出等情况。</w:t>
            </w:r>
          </w:p>
        </w:tc>
        <w:tc>
          <w:tcPr>
            <w:tcW w:w="610" w:type="dxa"/>
            <w:vAlign w:val="center"/>
          </w:tcPr>
          <w:p w14:paraId="46B5354E">
            <w:pPr>
              <w:jc w:val="center"/>
              <w:rPr>
                <w:szCs w:val="21"/>
              </w:rPr>
            </w:pPr>
            <w:r>
              <w:rPr>
                <w:rFonts w:hint="eastAsia"/>
                <w:szCs w:val="21"/>
              </w:rPr>
              <w:t>4</w:t>
            </w:r>
          </w:p>
        </w:tc>
        <w:tc>
          <w:tcPr>
            <w:tcW w:w="2712" w:type="dxa"/>
            <w:vAlign w:val="center"/>
          </w:tcPr>
          <w:p w14:paraId="61DDD44C">
            <w:pPr>
              <w:jc w:val="left"/>
              <w:rPr>
                <w:rFonts w:hint="default" w:eastAsiaTheme="minorEastAsia"/>
                <w:color w:val="000000" w:themeColor="text1"/>
                <w:szCs w:val="21"/>
                <w:lang w:val="en-US" w:eastAsia="zh-CN"/>
                <w14:textFill>
                  <w14:solidFill>
                    <w14:schemeClr w14:val="tx1"/>
                  </w14:solidFill>
                </w14:textFill>
              </w:rPr>
            </w:pPr>
            <w:r>
              <w:rPr>
                <w:rFonts w:hint="eastAsia"/>
                <w:lang w:val="en-US" w:eastAsia="zh-CN"/>
              </w:rPr>
              <w:t>要点各占25%权重，每个要点执行情况分达成、部分达成、未达成三档，按100%-80%（含）、80%-60%（含）、60%-0%评分。</w:t>
            </w:r>
          </w:p>
        </w:tc>
        <w:tc>
          <w:tcPr>
            <w:tcW w:w="806" w:type="dxa"/>
            <w:vAlign w:val="center"/>
          </w:tcPr>
          <w:p w14:paraId="3DBA7F77">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w:t>
            </w:r>
          </w:p>
        </w:tc>
      </w:tr>
      <w:tr w14:paraId="0160BE2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93" w:hRule="atLeast"/>
          <w:jc w:val="center"/>
        </w:trPr>
        <w:tc>
          <w:tcPr>
            <w:tcW w:w="792" w:type="dxa"/>
            <w:vMerge w:val="continue"/>
            <w:vAlign w:val="center"/>
          </w:tcPr>
          <w:p w14:paraId="3D895378">
            <w:pPr>
              <w:jc w:val="center"/>
              <w:rPr>
                <w:szCs w:val="21"/>
              </w:rPr>
            </w:pPr>
          </w:p>
        </w:tc>
        <w:tc>
          <w:tcPr>
            <w:tcW w:w="750" w:type="dxa"/>
            <w:vMerge w:val="restart"/>
            <w:vAlign w:val="center"/>
          </w:tcPr>
          <w:p w14:paraId="22792DFB">
            <w:pPr>
              <w:jc w:val="center"/>
              <w:rPr>
                <w:szCs w:val="21"/>
              </w:rPr>
            </w:pPr>
            <w:r>
              <w:rPr>
                <w:szCs w:val="21"/>
              </w:rPr>
              <w:t>组织实施</w:t>
            </w:r>
          </w:p>
        </w:tc>
        <w:tc>
          <w:tcPr>
            <w:tcW w:w="1065" w:type="dxa"/>
            <w:vAlign w:val="center"/>
          </w:tcPr>
          <w:p w14:paraId="4603F12A">
            <w:pPr>
              <w:jc w:val="center"/>
              <w:rPr>
                <w:szCs w:val="21"/>
              </w:rPr>
            </w:pPr>
            <w:r>
              <w:rPr>
                <w:color w:val="auto"/>
                <w:szCs w:val="21"/>
              </w:rPr>
              <w:t>管理制度健全性</w:t>
            </w:r>
          </w:p>
        </w:tc>
        <w:tc>
          <w:tcPr>
            <w:tcW w:w="975" w:type="dxa"/>
            <w:vAlign w:val="center"/>
          </w:tcPr>
          <w:p w14:paraId="600A2066">
            <w:pPr>
              <w:jc w:val="center"/>
              <w:rPr>
                <w:szCs w:val="21"/>
              </w:rPr>
            </w:pPr>
            <w:r>
              <w:rPr>
                <w:rFonts w:hint="eastAsia"/>
                <w:szCs w:val="21"/>
              </w:rPr>
              <w:t>健全</w:t>
            </w:r>
          </w:p>
        </w:tc>
        <w:tc>
          <w:tcPr>
            <w:tcW w:w="3698" w:type="dxa"/>
            <w:vAlign w:val="center"/>
          </w:tcPr>
          <w:p w14:paraId="10298D9D">
            <w:pPr>
              <w:rPr>
                <w:rFonts w:hint="eastAsia"/>
                <w:szCs w:val="21"/>
              </w:rPr>
            </w:pPr>
            <w:r>
              <w:rPr>
                <w:rFonts w:hint="eastAsia"/>
                <w:szCs w:val="21"/>
              </w:rPr>
              <w:t xml:space="preserve"> ①是否已制定或具有相应的财务和业务管理等制度；</w:t>
            </w:r>
          </w:p>
          <w:p w14:paraId="1BC125C6">
            <w:pPr>
              <w:rPr>
                <w:szCs w:val="21"/>
              </w:rPr>
            </w:pPr>
            <w:r>
              <w:rPr>
                <w:rFonts w:hint="eastAsia"/>
                <w:szCs w:val="21"/>
              </w:rPr>
              <w:t xml:space="preserve"> ②财务和业务管理等制度是否合法、合规、完整。</w:t>
            </w:r>
          </w:p>
        </w:tc>
        <w:tc>
          <w:tcPr>
            <w:tcW w:w="610" w:type="dxa"/>
            <w:vAlign w:val="center"/>
          </w:tcPr>
          <w:p w14:paraId="0001AA5F">
            <w:pPr>
              <w:jc w:val="center"/>
              <w:rPr>
                <w:rFonts w:hint="default" w:eastAsiaTheme="minorEastAsia"/>
                <w:szCs w:val="21"/>
                <w:lang w:val="en-US" w:eastAsia="zh-CN"/>
              </w:rPr>
            </w:pPr>
            <w:r>
              <w:rPr>
                <w:rFonts w:hint="eastAsia"/>
                <w:szCs w:val="21"/>
                <w:lang w:val="en-US" w:eastAsia="zh-CN"/>
              </w:rPr>
              <w:t>2</w:t>
            </w:r>
          </w:p>
        </w:tc>
        <w:tc>
          <w:tcPr>
            <w:tcW w:w="2712" w:type="dxa"/>
            <w:vAlign w:val="center"/>
          </w:tcPr>
          <w:p w14:paraId="2EB40F32">
            <w:pPr>
              <w:jc w:val="left"/>
              <w:rPr>
                <w:rFonts w:hint="default"/>
                <w:color w:val="000000" w:themeColor="text1"/>
                <w:szCs w:val="21"/>
                <w:lang w:val="en-US" w:eastAsia="zh-CN"/>
                <w14:textFill>
                  <w14:solidFill>
                    <w14:schemeClr w14:val="tx1"/>
                  </w14:solidFill>
                </w14:textFill>
              </w:rPr>
            </w:pPr>
            <w:r>
              <w:rPr>
                <w:rFonts w:hint="eastAsia"/>
                <w:lang w:val="en-US" w:eastAsia="zh-CN"/>
              </w:rPr>
              <w:t>要点各占50%权重，每个要点执行情况分达成、部分达成、未达成三档，按100%-80%（含）、80%-60%（含）、60%-0%评分</w:t>
            </w:r>
          </w:p>
        </w:tc>
        <w:tc>
          <w:tcPr>
            <w:tcW w:w="806" w:type="dxa"/>
            <w:vAlign w:val="center"/>
          </w:tcPr>
          <w:p w14:paraId="6F80C509">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w:t>
            </w:r>
          </w:p>
        </w:tc>
      </w:tr>
      <w:tr w14:paraId="26700D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64" w:hRule="atLeast"/>
          <w:jc w:val="center"/>
        </w:trPr>
        <w:tc>
          <w:tcPr>
            <w:tcW w:w="792" w:type="dxa"/>
            <w:vMerge w:val="continue"/>
            <w:tcBorders>
              <w:bottom w:val="single" w:color="auto" w:sz="4" w:space="0"/>
            </w:tcBorders>
            <w:vAlign w:val="center"/>
          </w:tcPr>
          <w:p w14:paraId="6B5FF8D0">
            <w:pPr>
              <w:jc w:val="center"/>
              <w:rPr>
                <w:szCs w:val="21"/>
              </w:rPr>
            </w:pPr>
          </w:p>
        </w:tc>
        <w:tc>
          <w:tcPr>
            <w:tcW w:w="750" w:type="dxa"/>
            <w:vMerge w:val="continue"/>
            <w:vAlign w:val="center"/>
          </w:tcPr>
          <w:p w14:paraId="7A5662A3">
            <w:pPr>
              <w:jc w:val="center"/>
              <w:rPr>
                <w:szCs w:val="21"/>
              </w:rPr>
            </w:pPr>
          </w:p>
        </w:tc>
        <w:tc>
          <w:tcPr>
            <w:tcW w:w="1065" w:type="dxa"/>
            <w:vAlign w:val="center"/>
          </w:tcPr>
          <w:p w14:paraId="211DC22F">
            <w:pPr>
              <w:jc w:val="center"/>
              <w:rPr>
                <w:szCs w:val="21"/>
              </w:rPr>
            </w:pPr>
            <w:r>
              <w:rPr>
                <w:color w:val="auto"/>
                <w:szCs w:val="21"/>
              </w:rPr>
              <w:t>制度执行有效性</w:t>
            </w:r>
          </w:p>
        </w:tc>
        <w:tc>
          <w:tcPr>
            <w:tcW w:w="975" w:type="dxa"/>
            <w:vAlign w:val="center"/>
          </w:tcPr>
          <w:p w14:paraId="18846E17">
            <w:pPr>
              <w:jc w:val="center"/>
              <w:rPr>
                <w:szCs w:val="21"/>
              </w:rPr>
            </w:pPr>
            <w:r>
              <w:rPr>
                <w:rFonts w:hint="eastAsia"/>
                <w:szCs w:val="21"/>
              </w:rPr>
              <w:t>有效</w:t>
            </w:r>
          </w:p>
        </w:tc>
        <w:tc>
          <w:tcPr>
            <w:tcW w:w="3698" w:type="dxa"/>
            <w:vAlign w:val="center"/>
          </w:tcPr>
          <w:p w14:paraId="00E6DB40">
            <w:pPr>
              <w:rPr>
                <w:rFonts w:hint="eastAsia"/>
                <w:szCs w:val="21"/>
              </w:rPr>
            </w:pPr>
            <w:r>
              <w:rPr>
                <w:rFonts w:hint="eastAsia"/>
                <w:szCs w:val="21"/>
              </w:rPr>
              <w:t xml:space="preserve"> ①项目是否制定合理的实施计划，实施过程中是否遵守相关法律法规和相关管理规定，并按照规定程序实施项目，进度是否符合计划；</w:t>
            </w:r>
          </w:p>
          <w:p w14:paraId="287E67B6">
            <w:pPr>
              <w:rPr>
                <w:rFonts w:hint="eastAsia"/>
                <w:szCs w:val="21"/>
              </w:rPr>
            </w:pPr>
            <w:r>
              <w:rPr>
                <w:rFonts w:hint="eastAsia"/>
                <w:szCs w:val="21"/>
              </w:rPr>
              <w:t xml:space="preserve"> ②项目调整及支出调整手续是否完备，资产管理是否规范，是否开展监督检查、绩效监控和评价；</w:t>
            </w:r>
          </w:p>
          <w:p w14:paraId="3E8F7F48">
            <w:pPr>
              <w:rPr>
                <w:rFonts w:hint="eastAsia"/>
                <w:szCs w:val="21"/>
              </w:rPr>
            </w:pPr>
            <w:r>
              <w:rPr>
                <w:rFonts w:hint="eastAsia"/>
                <w:szCs w:val="21"/>
              </w:rPr>
              <w:t xml:space="preserve"> ③项目合同书、验收报告、技术鉴定、监督检查、绩效管理等资料是否齐全并及时归档；</w:t>
            </w:r>
          </w:p>
          <w:p w14:paraId="36845E9E">
            <w:pPr>
              <w:rPr>
                <w:rFonts w:hint="eastAsia" w:eastAsiaTheme="minorEastAsia"/>
                <w:szCs w:val="21"/>
                <w:lang w:eastAsia="zh-CN"/>
              </w:rPr>
            </w:pPr>
            <w:r>
              <w:rPr>
                <w:rFonts w:hint="eastAsia"/>
                <w:szCs w:val="21"/>
              </w:rPr>
              <w:t xml:space="preserve"> ④项目实施的组织机构、人员条件、场地设备、信息支撑等是否落实到位；</w:t>
            </w:r>
          </w:p>
        </w:tc>
        <w:tc>
          <w:tcPr>
            <w:tcW w:w="610" w:type="dxa"/>
            <w:vAlign w:val="center"/>
          </w:tcPr>
          <w:p w14:paraId="21B590CA">
            <w:pPr>
              <w:jc w:val="center"/>
              <w:rPr>
                <w:rFonts w:hint="default" w:eastAsiaTheme="minorEastAsia"/>
                <w:szCs w:val="21"/>
                <w:lang w:val="en-US" w:eastAsia="zh-CN"/>
              </w:rPr>
            </w:pPr>
            <w:r>
              <w:rPr>
                <w:rFonts w:hint="eastAsia"/>
                <w:szCs w:val="21"/>
                <w:lang w:val="en-US" w:eastAsia="zh-CN"/>
              </w:rPr>
              <w:t>6</w:t>
            </w:r>
          </w:p>
        </w:tc>
        <w:tc>
          <w:tcPr>
            <w:tcW w:w="2712" w:type="dxa"/>
            <w:vAlign w:val="center"/>
          </w:tcPr>
          <w:p w14:paraId="441E4534">
            <w:pPr>
              <w:jc w:val="left"/>
              <w:rPr>
                <w:rFonts w:hint="default"/>
                <w:color w:val="000000" w:themeColor="text1"/>
                <w:szCs w:val="21"/>
                <w:lang w:val="en-US" w:eastAsia="zh-CN"/>
                <w14:textFill>
                  <w14:solidFill>
                    <w14:schemeClr w14:val="tx1"/>
                  </w14:solidFill>
                </w14:textFill>
              </w:rPr>
            </w:pPr>
            <w:bookmarkStart w:id="0" w:name="_GoBack"/>
            <w:bookmarkEnd w:id="0"/>
            <w:r>
              <w:rPr>
                <w:rFonts w:hint="eastAsia"/>
                <w:lang w:val="en-US" w:eastAsia="zh-CN"/>
              </w:rPr>
              <w:t>要点各占25%权重，每个要点执行情况分达成、部分达成、未达成三档，按100%-80%（含）、80%-60%（含）、60%-0%评分。</w:t>
            </w:r>
          </w:p>
        </w:tc>
        <w:tc>
          <w:tcPr>
            <w:tcW w:w="806" w:type="dxa"/>
            <w:vAlign w:val="center"/>
          </w:tcPr>
          <w:p w14:paraId="1B0A029F">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w:t>
            </w:r>
          </w:p>
        </w:tc>
      </w:tr>
      <w:tr w14:paraId="3DA245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4" w:hRule="atLeast"/>
          <w:jc w:val="center"/>
        </w:trPr>
        <w:tc>
          <w:tcPr>
            <w:tcW w:w="792" w:type="dxa"/>
            <w:vMerge w:val="restart"/>
            <w:tcBorders>
              <w:top w:val="single" w:color="auto" w:sz="4" w:space="0"/>
            </w:tcBorders>
            <w:vAlign w:val="center"/>
          </w:tcPr>
          <w:p w14:paraId="2D62B84B">
            <w:pPr>
              <w:jc w:val="center"/>
              <w:rPr>
                <w:rFonts w:hint="eastAsia" w:eastAsiaTheme="minorEastAsia"/>
                <w:szCs w:val="21"/>
                <w:lang w:val="en-US" w:eastAsia="zh-CN"/>
              </w:rPr>
            </w:pPr>
            <w:r>
              <w:rPr>
                <w:rFonts w:hint="eastAsia"/>
                <w:szCs w:val="21"/>
                <w:lang w:val="en-US" w:eastAsia="zh-CN"/>
              </w:rPr>
              <w:t>产出指标（30分）</w:t>
            </w:r>
          </w:p>
        </w:tc>
        <w:tc>
          <w:tcPr>
            <w:tcW w:w="750" w:type="dxa"/>
            <w:vMerge w:val="restart"/>
            <w:tcBorders>
              <w:top w:val="single" w:color="auto" w:sz="4" w:space="0"/>
            </w:tcBorders>
            <w:vAlign w:val="center"/>
          </w:tcPr>
          <w:p w14:paraId="40F292BD">
            <w:pPr>
              <w:jc w:val="center"/>
              <w:rPr>
                <w:rFonts w:hint="default" w:eastAsiaTheme="minorEastAsia"/>
                <w:szCs w:val="21"/>
                <w:lang w:val="en-US" w:eastAsia="zh-CN"/>
              </w:rPr>
            </w:pPr>
            <w:r>
              <w:rPr>
                <w:rFonts w:hint="eastAsia"/>
                <w:szCs w:val="21"/>
                <w:lang w:val="en-US" w:eastAsia="zh-CN"/>
              </w:rPr>
              <w:t>成本指标</w:t>
            </w:r>
          </w:p>
        </w:tc>
        <w:tc>
          <w:tcPr>
            <w:tcW w:w="1065" w:type="dxa"/>
            <w:vAlign w:val="center"/>
          </w:tcPr>
          <w:p w14:paraId="4AB980DD">
            <w:pPr>
              <w:jc w:val="center"/>
              <w:rPr>
                <w:rFonts w:hint="default" w:eastAsiaTheme="minorEastAsia"/>
                <w:color w:val="auto"/>
                <w:szCs w:val="21"/>
                <w:lang w:val="en-US" w:eastAsia="zh-CN"/>
              </w:rPr>
            </w:pPr>
            <w:r>
              <w:rPr>
                <w:rFonts w:hint="eastAsia"/>
                <w:color w:val="auto"/>
                <w:szCs w:val="21"/>
                <w:lang w:val="en-US" w:eastAsia="zh-CN"/>
              </w:rPr>
              <w:t>以“多算合一”系统成果推进绿色金融信贷工作</w:t>
            </w:r>
          </w:p>
        </w:tc>
        <w:tc>
          <w:tcPr>
            <w:tcW w:w="975" w:type="dxa"/>
            <w:vAlign w:val="center"/>
          </w:tcPr>
          <w:p w14:paraId="708F4552">
            <w:pPr>
              <w:jc w:val="center"/>
              <w:rPr>
                <w:rFonts w:hint="eastAsia" w:eastAsiaTheme="minorEastAsia"/>
                <w:color w:val="auto"/>
                <w:szCs w:val="21"/>
                <w:lang w:val="en-US" w:eastAsia="zh-CN"/>
              </w:rPr>
            </w:pPr>
            <w:r>
              <w:rPr>
                <w:rFonts w:hint="eastAsia"/>
                <w:color w:val="auto"/>
                <w:szCs w:val="21"/>
                <w:lang w:val="en-US" w:eastAsia="zh-CN"/>
              </w:rPr>
              <w:t>较高</w:t>
            </w:r>
          </w:p>
        </w:tc>
        <w:tc>
          <w:tcPr>
            <w:tcW w:w="3698" w:type="dxa"/>
            <w:vAlign w:val="center"/>
          </w:tcPr>
          <w:p w14:paraId="7BD334E3">
            <w:pPr>
              <w:jc w:val="both"/>
              <w:rPr>
                <w:rFonts w:hint="eastAsia"/>
                <w:color w:val="auto"/>
                <w:szCs w:val="21"/>
                <w:lang w:val="en-US" w:eastAsia="zh-CN"/>
              </w:rPr>
            </w:pPr>
            <w:r>
              <w:rPr>
                <w:rFonts w:hint="eastAsia"/>
                <w:color w:val="auto"/>
                <w:szCs w:val="21"/>
                <w:lang w:val="en-US" w:eastAsia="zh-CN"/>
              </w:rPr>
              <w:t>①是否开展了建筑碳排放相关课题研究；</w:t>
            </w:r>
          </w:p>
          <w:p w14:paraId="62469C3B">
            <w:pPr>
              <w:jc w:val="both"/>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②是否开展了“多算合一”系统碳排放测算工作；</w:t>
            </w:r>
          </w:p>
          <w:p w14:paraId="6697F3EC">
            <w:pPr>
              <w:jc w:val="both"/>
              <w:rPr>
                <w:rFonts w:hint="eastAsia"/>
                <w:color w:val="auto"/>
                <w:szCs w:val="21"/>
              </w:rPr>
            </w:pPr>
            <w:r>
              <w:rPr>
                <w:rFonts w:hint="eastAsia"/>
                <w:color w:val="auto"/>
                <w:szCs w:val="21"/>
                <w:lang w:val="en-US" w:eastAsia="zh-CN"/>
              </w:rPr>
              <w:t>③是否在实际项目中开展了绿色建材应用及碳排放计算。</w:t>
            </w:r>
          </w:p>
        </w:tc>
        <w:tc>
          <w:tcPr>
            <w:tcW w:w="610" w:type="dxa"/>
            <w:vAlign w:val="center"/>
          </w:tcPr>
          <w:p w14:paraId="12E59581">
            <w:pPr>
              <w:jc w:val="center"/>
              <w:rPr>
                <w:rFonts w:hint="default" w:eastAsiaTheme="minorEastAsia"/>
                <w:szCs w:val="21"/>
                <w:lang w:val="en-US" w:eastAsia="zh-CN"/>
              </w:rPr>
            </w:pPr>
            <w:r>
              <w:rPr>
                <w:rFonts w:hint="eastAsia"/>
                <w:szCs w:val="21"/>
                <w:lang w:val="en-US" w:eastAsia="zh-CN"/>
              </w:rPr>
              <w:t>3</w:t>
            </w:r>
          </w:p>
        </w:tc>
        <w:tc>
          <w:tcPr>
            <w:tcW w:w="2712" w:type="dxa"/>
            <w:vAlign w:val="center"/>
          </w:tcPr>
          <w:p w14:paraId="11610F91">
            <w:pPr>
              <w:jc w:val="both"/>
              <w:rPr>
                <w:rFonts w:hint="eastAsia" w:eastAsiaTheme="minorEastAsia"/>
                <w:color w:val="000000" w:themeColor="text1"/>
                <w:szCs w:val="21"/>
                <w:lang w:eastAsia="zh-CN"/>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指标各占1/3权重，每完成一个指标得分1分。</w:t>
            </w:r>
          </w:p>
        </w:tc>
        <w:tc>
          <w:tcPr>
            <w:tcW w:w="806" w:type="dxa"/>
            <w:vAlign w:val="center"/>
          </w:tcPr>
          <w:p w14:paraId="19826F85">
            <w:pPr>
              <w:jc w:val="center"/>
              <w:rPr>
                <w:rFonts w:hint="default" w:eastAsiaTheme="minorEastAsia"/>
                <w:color w:val="FF0000"/>
                <w:szCs w:val="21"/>
                <w:lang w:val="en-US" w:eastAsia="zh-CN"/>
              </w:rPr>
            </w:pPr>
            <w:r>
              <w:rPr>
                <w:rFonts w:hint="eastAsia"/>
                <w:color w:val="000000" w:themeColor="text1"/>
                <w:szCs w:val="21"/>
                <w:lang w:val="en-US" w:eastAsia="zh-CN"/>
                <w14:textFill>
                  <w14:solidFill>
                    <w14:schemeClr w14:val="tx1"/>
                  </w14:solidFill>
                </w14:textFill>
              </w:rPr>
              <w:t>3</w:t>
            </w:r>
          </w:p>
        </w:tc>
      </w:tr>
      <w:tr w14:paraId="6E7ACA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4" w:hRule="atLeast"/>
          <w:jc w:val="center"/>
        </w:trPr>
        <w:tc>
          <w:tcPr>
            <w:tcW w:w="792" w:type="dxa"/>
            <w:vMerge w:val="continue"/>
            <w:vAlign w:val="center"/>
          </w:tcPr>
          <w:p w14:paraId="1CE2B8CD">
            <w:pPr>
              <w:jc w:val="center"/>
            </w:pPr>
          </w:p>
        </w:tc>
        <w:tc>
          <w:tcPr>
            <w:tcW w:w="750" w:type="dxa"/>
            <w:vMerge w:val="continue"/>
            <w:vAlign w:val="center"/>
          </w:tcPr>
          <w:p w14:paraId="2358CAEA">
            <w:pPr>
              <w:jc w:val="center"/>
              <w:rPr>
                <w:rFonts w:hint="default" w:eastAsiaTheme="minorEastAsia"/>
                <w:szCs w:val="21"/>
                <w:lang w:val="en-US" w:eastAsia="zh-CN"/>
              </w:rPr>
            </w:pPr>
          </w:p>
        </w:tc>
        <w:tc>
          <w:tcPr>
            <w:tcW w:w="1065" w:type="dxa"/>
            <w:vAlign w:val="center"/>
          </w:tcPr>
          <w:p w14:paraId="5D8379D2">
            <w:pPr>
              <w:jc w:val="center"/>
              <w:rPr>
                <w:rFonts w:hint="default" w:eastAsiaTheme="minorEastAsia"/>
                <w:color w:val="auto"/>
                <w:szCs w:val="21"/>
                <w:lang w:val="en-US" w:eastAsia="zh-CN"/>
              </w:rPr>
            </w:pPr>
            <w:r>
              <w:rPr>
                <w:rFonts w:hint="eastAsia"/>
                <w:color w:val="auto"/>
                <w:szCs w:val="21"/>
                <w:lang w:val="en-US" w:eastAsia="zh-CN"/>
              </w:rPr>
              <w:t>提高绿色建材占比</w:t>
            </w:r>
          </w:p>
        </w:tc>
        <w:tc>
          <w:tcPr>
            <w:tcW w:w="975" w:type="dxa"/>
            <w:vAlign w:val="center"/>
          </w:tcPr>
          <w:p w14:paraId="4E606AE0">
            <w:pPr>
              <w:jc w:val="center"/>
              <w:rPr>
                <w:rFonts w:hint="default" w:eastAsiaTheme="minorEastAsia"/>
                <w:color w:val="auto"/>
                <w:szCs w:val="21"/>
                <w:lang w:val="en-US" w:eastAsia="zh-CN"/>
              </w:rPr>
            </w:pPr>
            <w:r>
              <w:rPr>
                <w:rFonts w:hint="eastAsia"/>
                <w:color w:val="auto"/>
                <w:szCs w:val="21"/>
                <w:lang w:val="en-US" w:eastAsia="zh-CN"/>
              </w:rPr>
              <w:t>较高</w:t>
            </w:r>
          </w:p>
        </w:tc>
        <w:tc>
          <w:tcPr>
            <w:tcW w:w="3698" w:type="dxa"/>
            <w:vAlign w:val="center"/>
          </w:tcPr>
          <w:p w14:paraId="38981808">
            <w:pPr>
              <w:jc w:val="both"/>
              <w:rPr>
                <w:rFonts w:hint="default"/>
                <w:color w:val="auto"/>
                <w:szCs w:val="21"/>
                <w:lang w:val="en-US" w:eastAsia="zh-CN"/>
              </w:rPr>
            </w:pPr>
            <w:r>
              <w:rPr>
                <w:rFonts w:hint="eastAsia"/>
                <w:color w:val="auto"/>
                <w:szCs w:val="21"/>
                <w:lang w:val="en-US" w:eastAsia="zh-CN"/>
              </w:rPr>
              <w:t>①是否对行业开展绿色建材有关政策文件宣贯指引；</w:t>
            </w:r>
          </w:p>
          <w:p w14:paraId="460A6F2A">
            <w:pPr>
              <w:jc w:val="both"/>
              <w:rPr>
                <w:rFonts w:hint="default"/>
                <w:color w:val="auto"/>
                <w:szCs w:val="21"/>
                <w:lang w:val="en-US" w:eastAsia="zh-CN"/>
              </w:rPr>
            </w:pPr>
            <w:r>
              <w:rPr>
                <w:rFonts w:hint="eastAsia"/>
                <w:color w:val="auto"/>
                <w:szCs w:val="21"/>
                <w:lang w:val="en-US" w:eastAsia="zh-CN"/>
              </w:rPr>
              <w:t>②是否对相关企业开展绿色低碳转型进行引导；</w:t>
            </w:r>
          </w:p>
          <w:p w14:paraId="45A7564B">
            <w:pPr>
              <w:jc w:val="both"/>
              <w:rPr>
                <w:rFonts w:hint="default"/>
                <w:color w:val="auto"/>
                <w:szCs w:val="21"/>
                <w:lang w:val="en-US" w:eastAsia="zh-CN"/>
              </w:rPr>
            </w:pPr>
            <w:r>
              <w:rPr>
                <w:rFonts w:hint="eastAsia"/>
                <w:color w:val="auto"/>
                <w:szCs w:val="21"/>
                <w:lang w:val="en-US" w:eastAsia="zh-CN"/>
              </w:rPr>
              <w:t>③是否对有关绿色建筑项目提供现场服务；</w:t>
            </w:r>
          </w:p>
          <w:p w14:paraId="4B316961">
            <w:pPr>
              <w:jc w:val="both"/>
              <w:rPr>
                <w:rFonts w:hint="eastAsia"/>
                <w:color w:val="auto"/>
                <w:szCs w:val="21"/>
              </w:rPr>
            </w:pPr>
            <w:r>
              <w:rPr>
                <w:rFonts w:hint="eastAsia"/>
                <w:color w:val="auto"/>
                <w:szCs w:val="21"/>
                <w:lang w:val="en-US" w:eastAsia="zh-CN"/>
              </w:rPr>
              <w:t>④</w:t>
            </w:r>
            <w:r>
              <w:rPr>
                <w:rFonts w:hint="eastAsia" w:ascii="宋体" w:hAnsi="宋体" w:eastAsia="宋体" w:cs="宋体"/>
                <w:i w:val="0"/>
                <w:iCs w:val="0"/>
                <w:color w:val="auto"/>
                <w:kern w:val="0"/>
                <w:sz w:val="21"/>
                <w:szCs w:val="21"/>
                <w:u w:val="none"/>
                <w:lang w:val="en-US" w:eastAsia="zh-CN" w:bidi="ar"/>
              </w:rPr>
              <w:t>是否推进绿色建材产品认证标准建设；</w:t>
            </w:r>
          </w:p>
        </w:tc>
        <w:tc>
          <w:tcPr>
            <w:tcW w:w="610" w:type="dxa"/>
            <w:vAlign w:val="center"/>
          </w:tcPr>
          <w:p w14:paraId="43F2522F">
            <w:pPr>
              <w:jc w:val="center"/>
              <w:rPr>
                <w:rFonts w:hint="eastAsia" w:eastAsiaTheme="minorEastAsia"/>
                <w:color w:val="auto"/>
                <w:szCs w:val="21"/>
                <w:lang w:val="en-US" w:eastAsia="zh-CN"/>
              </w:rPr>
            </w:pPr>
            <w:r>
              <w:rPr>
                <w:rFonts w:hint="eastAsia"/>
                <w:color w:val="auto"/>
                <w:szCs w:val="21"/>
                <w:lang w:val="en-US" w:eastAsia="zh-CN"/>
              </w:rPr>
              <w:t>2</w:t>
            </w:r>
          </w:p>
        </w:tc>
        <w:tc>
          <w:tcPr>
            <w:tcW w:w="2712" w:type="dxa"/>
            <w:vAlign w:val="center"/>
          </w:tcPr>
          <w:p w14:paraId="57B3DF7A">
            <w:pPr>
              <w:jc w:val="both"/>
              <w:rPr>
                <w:rFonts w:hint="eastAsia"/>
                <w:color w:val="auto"/>
                <w:szCs w:val="21"/>
              </w:rPr>
            </w:pPr>
            <w:r>
              <w:rPr>
                <w:rFonts w:hint="eastAsia" w:ascii="宋体" w:hAnsi="宋体" w:eastAsia="宋体" w:cs="宋体"/>
                <w:i w:val="0"/>
                <w:iCs w:val="0"/>
                <w:color w:val="auto"/>
                <w:kern w:val="0"/>
                <w:sz w:val="21"/>
                <w:szCs w:val="21"/>
                <w:u w:val="none"/>
                <w:lang w:val="en-US" w:eastAsia="zh-CN" w:bidi="ar"/>
              </w:rPr>
              <w:t>指标各占25%权重，每完成一个指标得分0.5分。</w:t>
            </w:r>
          </w:p>
        </w:tc>
        <w:tc>
          <w:tcPr>
            <w:tcW w:w="806" w:type="dxa"/>
            <w:vAlign w:val="center"/>
          </w:tcPr>
          <w:p w14:paraId="79E111EB">
            <w:pPr>
              <w:jc w:val="center"/>
              <w:rPr>
                <w:rFonts w:hint="eastAsia" w:eastAsiaTheme="minorEastAsia"/>
                <w:szCs w:val="21"/>
                <w:lang w:val="en-US" w:eastAsia="zh-CN"/>
              </w:rPr>
            </w:pPr>
            <w:r>
              <w:rPr>
                <w:rFonts w:hint="eastAsia"/>
                <w:szCs w:val="21"/>
                <w:lang w:val="en-US" w:eastAsia="zh-CN"/>
              </w:rPr>
              <w:t>2</w:t>
            </w:r>
          </w:p>
        </w:tc>
      </w:tr>
      <w:tr w14:paraId="4B64DA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4" w:hRule="atLeast"/>
          <w:jc w:val="center"/>
        </w:trPr>
        <w:tc>
          <w:tcPr>
            <w:tcW w:w="792" w:type="dxa"/>
            <w:vMerge w:val="continue"/>
            <w:vAlign w:val="center"/>
          </w:tcPr>
          <w:p w14:paraId="23016823">
            <w:pPr>
              <w:jc w:val="center"/>
              <w:rPr>
                <w:rFonts w:hint="eastAsia"/>
                <w:szCs w:val="21"/>
              </w:rPr>
            </w:pPr>
          </w:p>
        </w:tc>
        <w:tc>
          <w:tcPr>
            <w:tcW w:w="750" w:type="dxa"/>
            <w:vMerge w:val="continue"/>
            <w:vAlign w:val="center"/>
          </w:tcPr>
          <w:p w14:paraId="770DCAE0">
            <w:pPr>
              <w:jc w:val="center"/>
              <w:rPr>
                <w:rFonts w:hint="default" w:eastAsiaTheme="minorEastAsia"/>
                <w:szCs w:val="21"/>
                <w:lang w:val="en-US" w:eastAsia="zh-CN"/>
              </w:rPr>
            </w:pPr>
          </w:p>
        </w:tc>
        <w:tc>
          <w:tcPr>
            <w:tcW w:w="1065" w:type="dxa"/>
            <w:vAlign w:val="center"/>
          </w:tcPr>
          <w:p w14:paraId="002F2794">
            <w:pPr>
              <w:jc w:val="center"/>
              <w:rPr>
                <w:rFonts w:hint="default" w:eastAsiaTheme="minorEastAsia"/>
                <w:szCs w:val="21"/>
                <w:lang w:val="en-US" w:eastAsia="zh-CN"/>
              </w:rPr>
            </w:pPr>
            <w:r>
              <w:rPr>
                <w:rFonts w:hint="eastAsia"/>
                <w:color w:val="auto"/>
                <w:szCs w:val="21"/>
                <w:lang w:val="en-US" w:eastAsia="zh-CN"/>
              </w:rPr>
              <w:t>降低建筑碳排放</w:t>
            </w:r>
          </w:p>
        </w:tc>
        <w:tc>
          <w:tcPr>
            <w:tcW w:w="975" w:type="dxa"/>
            <w:tcBorders>
              <w:bottom w:val="single" w:color="auto" w:sz="4" w:space="0"/>
            </w:tcBorders>
            <w:vAlign w:val="center"/>
          </w:tcPr>
          <w:p w14:paraId="1E79E36F">
            <w:pPr>
              <w:jc w:val="center"/>
              <w:rPr>
                <w:rFonts w:hint="eastAsia"/>
                <w:szCs w:val="21"/>
              </w:rPr>
            </w:pPr>
            <w:r>
              <w:rPr>
                <w:rFonts w:hint="eastAsia"/>
                <w:szCs w:val="21"/>
                <w:lang w:val="en-US" w:eastAsia="zh-CN"/>
              </w:rPr>
              <w:t>较高</w:t>
            </w:r>
          </w:p>
        </w:tc>
        <w:tc>
          <w:tcPr>
            <w:tcW w:w="3698" w:type="dxa"/>
            <w:tcBorders>
              <w:bottom w:val="single" w:color="auto" w:sz="4" w:space="0"/>
            </w:tcBorders>
            <w:vAlign w:val="center"/>
          </w:tcPr>
          <w:p w14:paraId="73385926">
            <w:pPr>
              <w:jc w:val="both"/>
              <w:rPr>
                <w:rFonts w:hint="default"/>
                <w:color w:val="auto"/>
                <w:szCs w:val="21"/>
                <w:lang w:val="en-US" w:eastAsia="zh-CN"/>
              </w:rPr>
            </w:pPr>
            <w:r>
              <w:rPr>
                <w:rFonts w:hint="eastAsia"/>
                <w:color w:val="auto"/>
                <w:szCs w:val="21"/>
                <w:lang w:val="en-US" w:eastAsia="zh-CN"/>
              </w:rPr>
              <w:t>①项目是否按标准要求采购了绿色建材；</w:t>
            </w:r>
          </w:p>
          <w:p w14:paraId="4F53714E">
            <w:pPr>
              <w:jc w:val="left"/>
              <w:rPr>
                <w:rFonts w:hint="default"/>
                <w:szCs w:val="21"/>
                <w:lang w:val="en-US"/>
              </w:rPr>
            </w:pPr>
            <w:r>
              <w:rPr>
                <w:rFonts w:hint="eastAsia"/>
                <w:color w:val="auto"/>
                <w:szCs w:val="21"/>
                <w:lang w:val="en-US" w:eastAsia="zh-CN"/>
              </w:rPr>
              <w:t>②对项目使用的绿色建材依据相关标准开展核算，核算过程资料完整。</w:t>
            </w:r>
          </w:p>
        </w:tc>
        <w:tc>
          <w:tcPr>
            <w:tcW w:w="610" w:type="dxa"/>
            <w:tcBorders>
              <w:bottom w:val="single" w:color="auto" w:sz="4" w:space="0"/>
            </w:tcBorders>
            <w:vAlign w:val="center"/>
          </w:tcPr>
          <w:p w14:paraId="445E8332">
            <w:pPr>
              <w:jc w:val="center"/>
              <w:rPr>
                <w:rFonts w:hint="default" w:eastAsiaTheme="minorEastAsia"/>
                <w:szCs w:val="21"/>
                <w:lang w:val="en-US" w:eastAsia="zh-CN"/>
              </w:rPr>
            </w:pPr>
            <w:r>
              <w:rPr>
                <w:rFonts w:hint="eastAsia"/>
                <w:szCs w:val="21"/>
                <w:lang w:val="en-US" w:eastAsia="zh-CN"/>
              </w:rPr>
              <w:t>2</w:t>
            </w:r>
          </w:p>
        </w:tc>
        <w:tc>
          <w:tcPr>
            <w:tcW w:w="2712" w:type="dxa"/>
            <w:vAlign w:val="center"/>
          </w:tcPr>
          <w:p w14:paraId="6D2DD895">
            <w:pPr>
              <w:jc w:val="both"/>
              <w:rPr>
                <w:rFonts w:hint="eastAsia"/>
                <w:szCs w:val="21"/>
              </w:rPr>
            </w:pPr>
            <w:r>
              <w:rPr>
                <w:rFonts w:hint="eastAsia" w:ascii="宋体" w:hAnsi="宋体" w:eastAsia="宋体" w:cs="宋体"/>
                <w:i w:val="0"/>
                <w:iCs w:val="0"/>
                <w:color w:val="000000"/>
                <w:kern w:val="0"/>
                <w:sz w:val="21"/>
                <w:szCs w:val="21"/>
                <w:u w:val="none"/>
                <w:lang w:val="en-US" w:eastAsia="zh-CN" w:bidi="ar"/>
              </w:rPr>
              <w:t>指标各占50%权重，每完成一个指标得分1分。</w:t>
            </w:r>
          </w:p>
        </w:tc>
        <w:tc>
          <w:tcPr>
            <w:tcW w:w="806" w:type="dxa"/>
            <w:vAlign w:val="center"/>
          </w:tcPr>
          <w:p w14:paraId="730A7DA7">
            <w:pPr>
              <w:jc w:val="center"/>
              <w:rPr>
                <w:rFonts w:hint="default" w:eastAsiaTheme="minorEastAsia"/>
                <w:szCs w:val="21"/>
                <w:lang w:val="en-US" w:eastAsia="zh-CN"/>
              </w:rPr>
            </w:pPr>
            <w:r>
              <w:rPr>
                <w:rFonts w:hint="eastAsia"/>
                <w:szCs w:val="21"/>
                <w:lang w:val="en-US" w:eastAsia="zh-CN"/>
              </w:rPr>
              <w:t>2</w:t>
            </w:r>
          </w:p>
        </w:tc>
      </w:tr>
      <w:tr w14:paraId="282CA6C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4" w:hRule="atLeast"/>
          <w:jc w:val="center"/>
        </w:trPr>
        <w:tc>
          <w:tcPr>
            <w:tcW w:w="792" w:type="dxa"/>
            <w:vMerge w:val="continue"/>
            <w:vAlign w:val="center"/>
          </w:tcPr>
          <w:p w14:paraId="14BBAD22">
            <w:pPr>
              <w:jc w:val="center"/>
              <w:rPr>
                <w:rFonts w:hint="eastAsia" w:eastAsiaTheme="minorEastAsia"/>
                <w:szCs w:val="21"/>
                <w:lang w:val="en-US" w:eastAsia="zh-CN"/>
              </w:rPr>
            </w:pPr>
          </w:p>
        </w:tc>
        <w:tc>
          <w:tcPr>
            <w:tcW w:w="750" w:type="dxa"/>
            <w:vMerge w:val="restart"/>
            <w:vAlign w:val="center"/>
          </w:tcPr>
          <w:p w14:paraId="170314A2">
            <w:pPr>
              <w:jc w:val="center"/>
              <w:rPr>
                <w:rFonts w:hint="default" w:eastAsiaTheme="minorEastAsia"/>
                <w:szCs w:val="21"/>
                <w:lang w:val="en-US" w:eastAsia="zh-CN"/>
              </w:rPr>
            </w:pPr>
            <w:r>
              <w:rPr>
                <w:rFonts w:hint="eastAsia"/>
                <w:szCs w:val="21"/>
                <w:lang w:val="en-US" w:eastAsia="zh-CN"/>
              </w:rPr>
              <w:t>数量指标</w:t>
            </w:r>
          </w:p>
        </w:tc>
        <w:tc>
          <w:tcPr>
            <w:tcW w:w="1065" w:type="dxa"/>
            <w:vAlign w:val="center"/>
          </w:tcPr>
          <w:p w14:paraId="4EE4FEDD">
            <w:pPr>
              <w:jc w:val="center"/>
              <w:rPr>
                <w:color w:val="auto"/>
                <w:szCs w:val="21"/>
              </w:rPr>
            </w:pPr>
            <w:r>
              <w:rPr>
                <w:rFonts w:hint="eastAsia"/>
                <w:color w:val="auto"/>
                <w:szCs w:val="21"/>
                <w:lang w:val="en-US" w:eastAsia="zh-CN"/>
              </w:rPr>
              <w:t>完成</w:t>
            </w:r>
            <w:r>
              <w:rPr>
                <w:rFonts w:hint="eastAsia"/>
                <w:color w:val="auto"/>
                <w:szCs w:val="21"/>
              </w:rPr>
              <w:t>课题</w:t>
            </w:r>
            <w:r>
              <w:rPr>
                <w:rFonts w:hint="eastAsia"/>
                <w:color w:val="auto"/>
                <w:szCs w:val="21"/>
                <w:lang w:val="en-US" w:eastAsia="zh-CN"/>
              </w:rPr>
              <w:t>研究</w:t>
            </w:r>
            <w:r>
              <w:rPr>
                <w:rFonts w:hint="eastAsia"/>
                <w:color w:val="auto"/>
                <w:szCs w:val="21"/>
              </w:rPr>
              <w:t>数量</w:t>
            </w:r>
          </w:p>
        </w:tc>
        <w:tc>
          <w:tcPr>
            <w:tcW w:w="975" w:type="dxa"/>
            <w:tcBorders>
              <w:bottom w:val="single" w:color="auto" w:sz="4" w:space="0"/>
            </w:tcBorders>
            <w:vAlign w:val="center"/>
          </w:tcPr>
          <w:p w14:paraId="1791BE7F">
            <w:pPr>
              <w:jc w:val="center"/>
              <w:rPr>
                <w:color w:val="0000FF"/>
                <w:szCs w:val="21"/>
              </w:rPr>
            </w:pPr>
            <w:r>
              <w:rPr>
                <w:rFonts w:hint="eastAsia"/>
                <w:szCs w:val="21"/>
                <w:lang w:val="en-US" w:eastAsia="zh-CN"/>
              </w:rPr>
              <w:t>1个</w:t>
            </w:r>
          </w:p>
        </w:tc>
        <w:tc>
          <w:tcPr>
            <w:tcW w:w="3698" w:type="dxa"/>
            <w:tcBorders>
              <w:bottom w:val="single" w:color="auto" w:sz="4" w:space="0"/>
            </w:tcBorders>
            <w:vAlign w:val="center"/>
          </w:tcPr>
          <w:p w14:paraId="0132C53B">
            <w:pPr>
              <w:jc w:val="left"/>
              <w:rPr>
                <w:color w:val="auto"/>
                <w:szCs w:val="21"/>
              </w:rPr>
            </w:pPr>
            <w:r>
              <w:rPr>
                <w:rFonts w:hint="eastAsia"/>
                <w:color w:val="auto"/>
                <w:szCs w:val="21"/>
              </w:rPr>
              <w:t>完成研究性课题</w:t>
            </w:r>
            <w:r>
              <w:rPr>
                <w:color w:val="auto"/>
                <w:szCs w:val="21"/>
              </w:rPr>
              <w:t>是否达到预定数目</w:t>
            </w:r>
          </w:p>
        </w:tc>
        <w:tc>
          <w:tcPr>
            <w:tcW w:w="610" w:type="dxa"/>
            <w:tcBorders>
              <w:bottom w:val="single" w:color="auto" w:sz="4" w:space="0"/>
            </w:tcBorders>
            <w:vAlign w:val="center"/>
          </w:tcPr>
          <w:p w14:paraId="2C39A305">
            <w:pPr>
              <w:jc w:val="center"/>
              <w:rPr>
                <w:rFonts w:hint="default" w:eastAsiaTheme="minorEastAsia"/>
                <w:lang w:val="en-US" w:eastAsia="zh-CN"/>
              </w:rPr>
            </w:pPr>
            <w:r>
              <w:rPr>
                <w:rFonts w:hint="eastAsia"/>
                <w:lang w:val="en-US" w:eastAsia="zh-CN"/>
              </w:rPr>
              <w:t>1</w:t>
            </w:r>
          </w:p>
        </w:tc>
        <w:tc>
          <w:tcPr>
            <w:tcW w:w="2712" w:type="dxa"/>
            <w:vAlign w:val="center"/>
          </w:tcPr>
          <w:p w14:paraId="5E46E6D1">
            <w:pPr>
              <w:jc w:val="both"/>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指标按数量得分，每个1分。</w:t>
            </w:r>
          </w:p>
        </w:tc>
        <w:tc>
          <w:tcPr>
            <w:tcW w:w="806" w:type="dxa"/>
            <w:vAlign w:val="center"/>
          </w:tcPr>
          <w:p w14:paraId="2122A2BB">
            <w:pPr>
              <w:jc w:val="center"/>
              <w:rPr>
                <w:rFonts w:hint="default" w:eastAsiaTheme="minorEastAsia"/>
                <w:szCs w:val="21"/>
                <w:lang w:val="en-US" w:eastAsia="zh-CN"/>
              </w:rPr>
            </w:pPr>
            <w:r>
              <w:rPr>
                <w:rFonts w:hint="eastAsia"/>
                <w:szCs w:val="21"/>
                <w:lang w:val="en-US" w:eastAsia="zh-CN"/>
              </w:rPr>
              <w:t>1</w:t>
            </w:r>
          </w:p>
        </w:tc>
      </w:tr>
      <w:tr w14:paraId="08B5F1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73" w:hRule="atLeast"/>
          <w:jc w:val="center"/>
        </w:trPr>
        <w:tc>
          <w:tcPr>
            <w:tcW w:w="792" w:type="dxa"/>
            <w:vMerge w:val="continue"/>
            <w:vAlign w:val="center"/>
          </w:tcPr>
          <w:p w14:paraId="6CD3BBE0">
            <w:pPr>
              <w:jc w:val="center"/>
              <w:rPr>
                <w:szCs w:val="21"/>
              </w:rPr>
            </w:pPr>
          </w:p>
        </w:tc>
        <w:tc>
          <w:tcPr>
            <w:tcW w:w="750" w:type="dxa"/>
            <w:vMerge w:val="continue"/>
            <w:vAlign w:val="center"/>
          </w:tcPr>
          <w:p w14:paraId="5283D0BF">
            <w:pPr>
              <w:jc w:val="center"/>
              <w:rPr>
                <w:szCs w:val="21"/>
              </w:rPr>
            </w:pPr>
          </w:p>
        </w:tc>
        <w:tc>
          <w:tcPr>
            <w:tcW w:w="1065" w:type="dxa"/>
            <w:vAlign w:val="center"/>
          </w:tcPr>
          <w:p w14:paraId="3631814A">
            <w:pPr>
              <w:jc w:val="center"/>
              <w:rPr>
                <w:rFonts w:hint="default" w:eastAsiaTheme="minorEastAsia"/>
                <w:color w:val="auto"/>
                <w:szCs w:val="21"/>
                <w:lang w:val="en-US" w:eastAsia="zh-CN"/>
              </w:rPr>
            </w:pPr>
            <w:r>
              <w:rPr>
                <w:rFonts w:hint="eastAsia"/>
                <w:color w:val="auto"/>
                <w:szCs w:val="21"/>
                <w:lang w:val="en-US" w:eastAsia="zh-CN"/>
              </w:rPr>
              <w:t>促进项目完成绿色建材占比核定数量</w:t>
            </w:r>
          </w:p>
        </w:tc>
        <w:tc>
          <w:tcPr>
            <w:tcW w:w="975" w:type="dxa"/>
            <w:tcBorders>
              <w:bottom w:val="single" w:color="auto" w:sz="4" w:space="0"/>
            </w:tcBorders>
            <w:vAlign w:val="center"/>
          </w:tcPr>
          <w:p w14:paraId="110B2098">
            <w:pPr>
              <w:jc w:val="center"/>
              <w:rPr>
                <w:rFonts w:hint="default" w:eastAsiaTheme="minorEastAsia"/>
                <w:color w:val="0000FF"/>
                <w:szCs w:val="21"/>
                <w:lang w:val="en-US" w:eastAsia="zh-CN"/>
              </w:rPr>
            </w:pPr>
            <w:r>
              <w:rPr>
                <w:rFonts w:hint="eastAsia"/>
                <w:color w:val="auto"/>
                <w:szCs w:val="21"/>
                <w:lang w:val="en-US" w:eastAsia="zh-CN"/>
              </w:rPr>
              <w:t>5个</w:t>
            </w:r>
          </w:p>
        </w:tc>
        <w:tc>
          <w:tcPr>
            <w:tcW w:w="3698" w:type="dxa"/>
            <w:tcBorders>
              <w:bottom w:val="single" w:color="auto" w:sz="4" w:space="0"/>
            </w:tcBorders>
            <w:vAlign w:val="center"/>
          </w:tcPr>
          <w:p w14:paraId="37D0E764">
            <w:pPr>
              <w:jc w:val="left"/>
              <w:rPr>
                <w:rFonts w:hint="default" w:eastAsiaTheme="minorEastAsia"/>
                <w:color w:val="auto"/>
                <w:szCs w:val="21"/>
                <w:lang w:val="en-US" w:eastAsia="zh-CN"/>
              </w:rPr>
            </w:pPr>
            <w:r>
              <w:rPr>
                <w:rFonts w:hint="eastAsia"/>
                <w:color w:val="auto"/>
                <w:szCs w:val="21"/>
                <w:lang w:val="en-US" w:eastAsia="zh-CN"/>
              </w:rPr>
              <w:t>项目完成绿色建材占比核定是否达到预定数目</w:t>
            </w:r>
          </w:p>
        </w:tc>
        <w:tc>
          <w:tcPr>
            <w:tcW w:w="610" w:type="dxa"/>
            <w:tcBorders>
              <w:bottom w:val="single" w:color="auto" w:sz="4" w:space="0"/>
            </w:tcBorders>
            <w:vAlign w:val="center"/>
          </w:tcPr>
          <w:p w14:paraId="6E67C2D8">
            <w:pPr>
              <w:jc w:val="center"/>
              <w:rPr>
                <w:rFonts w:hint="default" w:eastAsiaTheme="minorEastAsia"/>
                <w:lang w:val="en-US" w:eastAsia="zh-CN"/>
              </w:rPr>
            </w:pPr>
            <w:r>
              <w:rPr>
                <w:rFonts w:hint="eastAsia"/>
                <w:lang w:val="en-US" w:eastAsia="zh-CN"/>
              </w:rPr>
              <w:t>5</w:t>
            </w:r>
          </w:p>
        </w:tc>
        <w:tc>
          <w:tcPr>
            <w:tcW w:w="2712" w:type="dxa"/>
            <w:vAlign w:val="center"/>
          </w:tcPr>
          <w:p w14:paraId="71B09C7D">
            <w:pPr>
              <w:jc w:val="both"/>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指标按数量得分，全部完成得5分。</w:t>
            </w:r>
          </w:p>
        </w:tc>
        <w:tc>
          <w:tcPr>
            <w:tcW w:w="806" w:type="dxa"/>
            <w:vAlign w:val="center"/>
          </w:tcPr>
          <w:p w14:paraId="00EFD93D">
            <w:pPr>
              <w:jc w:val="center"/>
              <w:rPr>
                <w:rFonts w:hint="default" w:eastAsiaTheme="minorEastAsia"/>
                <w:szCs w:val="21"/>
                <w:lang w:val="en-US" w:eastAsia="zh-CN"/>
              </w:rPr>
            </w:pPr>
            <w:r>
              <w:rPr>
                <w:rFonts w:hint="eastAsia"/>
                <w:szCs w:val="21"/>
                <w:lang w:val="en-US" w:eastAsia="zh-CN"/>
              </w:rPr>
              <w:t>5</w:t>
            </w:r>
          </w:p>
        </w:tc>
      </w:tr>
      <w:tr w14:paraId="7DC9DD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13" w:hRule="atLeast"/>
          <w:jc w:val="center"/>
        </w:trPr>
        <w:tc>
          <w:tcPr>
            <w:tcW w:w="792" w:type="dxa"/>
            <w:vMerge w:val="continue"/>
            <w:vAlign w:val="center"/>
          </w:tcPr>
          <w:p w14:paraId="6521E928">
            <w:pPr>
              <w:jc w:val="center"/>
              <w:rPr>
                <w:szCs w:val="21"/>
              </w:rPr>
            </w:pPr>
          </w:p>
        </w:tc>
        <w:tc>
          <w:tcPr>
            <w:tcW w:w="750" w:type="dxa"/>
            <w:vMerge w:val="continue"/>
            <w:vAlign w:val="center"/>
          </w:tcPr>
          <w:p w14:paraId="004FC2D1">
            <w:pPr>
              <w:jc w:val="center"/>
              <w:rPr>
                <w:szCs w:val="21"/>
              </w:rPr>
            </w:pPr>
          </w:p>
        </w:tc>
        <w:tc>
          <w:tcPr>
            <w:tcW w:w="1065" w:type="dxa"/>
            <w:vAlign w:val="center"/>
          </w:tcPr>
          <w:p w14:paraId="176712D5">
            <w:pPr>
              <w:jc w:val="center"/>
              <w:rPr>
                <w:rFonts w:hint="default" w:eastAsiaTheme="minorEastAsia"/>
                <w:color w:val="auto"/>
                <w:szCs w:val="21"/>
                <w:lang w:val="en-US" w:eastAsia="zh-CN"/>
              </w:rPr>
            </w:pPr>
            <w:r>
              <w:rPr>
                <w:rFonts w:hint="eastAsia"/>
                <w:color w:val="auto"/>
                <w:szCs w:val="21"/>
                <w:lang w:val="en-US" w:eastAsia="zh-CN"/>
              </w:rPr>
              <w:t>取得绿色建材认证证书企业数量</w:t>
            </w:r>
          </w:p>
        </w:tc>
        <w:tc>
          <w:tcPr>
            <w:tcW w:w="975" w:type="dxa"/>
            <w:tcBorders>
              <w:top w:val="single" w:color="auto" w:sz="4" w:space="0"/>
              <w:bottom w:val="single" w:color="auto" w:sz="4" w:space="0"/>
            </w:tcBorders>
            <w:vAlign w:val="center"/>
          </w:tcPr>
          <w:p w14:paraId="0585D901">
            <w:pPr>
              <w:jc w:val="center"/>
              <w:rPr>
                <w:rFonts w:hint="default" w:eastAsiaTheme="minorEastAsia"/>
                <w:color w:val="auto"/>
                <w:szCs w:val="21"/>
                <w:lang w:val="en-US" w:eastAsia="zh-CN"/>
              </w:rPr>
            </w:pPr>
            <w:r>
              <w:rPr>
                <w:rFonts w:hint="eastAsia"/>
                <w:color w:val="auto"/>
                <w:szCs w:val="21"/>
                <w:lang w:val="en-US" w:eastAsia="zh-CN"/>
              </w:rPr>
              <w:t>10家</w:t>
            </w:r>
          </w:p>
        </w:tc>
        <w:tc>
          <w:tcPr>
            <w:tcW w:w="3698" w:type="dxa"/>
            <w:tcBorders>
              <w:top w:val="single" w:color="auto" w:sz="4" w:space="0"/>
              <w:bottom w:val="single" w:color="auto" w:sz="4" w:space="0"/>
            </w:tcBorders>
            <w:vAlign w:val="center"/>
          </w:tcPr>
          <w:p w14:paraId="605BDD9D">
            <w:pPr>
              <w:jc w:val="left"/>
              <w:rPr>
                <w:rFonts w:hint="default"/>
                <w:color w:val="auto"/>
                <w:szCs w:val="21"/>
                <w:lang w:val="en-US"/>
              </w:rPr>
            </w:pPr>
            <w:r>
              <w:rPr>
                <w:rFonts w:hint="eastAsia"/>
                <w:color w:val="auto"/>
                <w:szCs w:val="21"/>
                <w:lang w:val="en-US" w:eastAsia="zh-CN"/>
              </w:rPr>
              <w:t>取得绿色建材认证证书企业数量是否达到预定数目</w:t>
            </w:r>
          </w:p>
        </w:tc>
        <w:tc>
          <w:tcPr>
            <w:tcW w:w="610" w:type="dxa"/>
            <w:tcBorders>
              <w:top w:val="single" w:color="auto" w:sz="4" w:space="0"/>
              <w:bottom w:val="single" w:color="auto" w:sz="4" w:space="0"/>
            </w:tcBorders>
            <w:vAlign w:val="center"/>
          </w:tcPr>
          <w:p w14:paraId="5873DF9B">
            <w:pPr>
              <w:jc w:val="center"/>
              <w:rPr>
                <w:rFonts w:hint="default" w:eastAsiaTheme="minorEastAsia"/>
                <w:color w:val="auto"/>
                <w:lang w:val="en-US" w:eastAsia="zh-CN"/>
              </w:rPr>
            </w:pPr>
            <w:r>
              <w:rPr>
                <w:rFonts w:hint="eastAsia"/>
                <w:color w:val="auto"/>
                <w:lang w:val="en-US" w:eastAsia="zh-CN"/>
              </w:rPr>
              <w:t>3</w:t>
            </w:r>
          </w:p>
        </w:tc>
        <w:tc>
          <w:tcPr>
            <w:tcW w:w="2712" w:type="dxa"/>
            <w:vAlign w:val="center"/>
          </w:tcPr>
          <w:p w14:paraId="0130A4B2">
            <w:pPr>
              <w:jc w:val="left"/>
              <w:rPr>
                <w:rFonts w:hint="default" w:eastAsiaTheme="minorEastAsia"/>
                <w:color w:val="auto"/>
                <w:szCs w:val="21"/>
                <w:lang w:val="en-US" w:eastAsia="zh-CN"/>
              </w:rPr>
            </w:pPr>
            <w:r>
              <w:rPr>
                <w:rFonts w:hint="eastAsia" w:ascii="宋体" w:hAnsi="宋体" w:eastAsia="宋体" w:cs="宋体"/>
                <w:i w:val="0"/>
                <w:iCs w:val="0"/>
                <w:color w:val="auto"/>
                <w:kern w:val="0"/>
                <w:sz w:val="21"/>
                <w:szCs w:val="21"/>
                <w:u w:val="none"/>
                <w:lang w:val="en-US" w:eastAsia="zh-CN" w:bidi="ar"/>
              </w:rPr>
              <w:t>达到预定数目得3分。</w:t>
            </w:r>
          </w:p>
        </w:tc>
        <w:tc>
          <w:tcPr>
            <w:tcW w:w="806" w:type="dxa"/>
            <w:vAlign w:val="center"/>
          </w:tcPr>
          <w:p w14:paraId="216971B1">
            <w:pPr>
              <w:jc w:val="center"/>
              <w:rPr>
                <w:rFonts w:hint="default" w:eastAsiaTheme="minorEastAsia"/>
                <w:color w:val="auto"/>
                <w:szCs w:val="21"/>
                <w:lang w:val="en-US" w:eastAsia="zh-CN"/>
              </w:rPr>
            </w:pPr>
            <w:r>
              <w:rPr>
                <w:rFonts w:hint="eastAsia"/>
                <w:color w:val="auto"/>
                <w:szCs w:val="21"/>
                <w:lang w:val="en-US" w:eastAsia="zh-CN"/>
              </w:rPr>
              <w:t>3</w:t>
            </w:r>
          </w:p>
        </w:tc>
      </w:tr>
      <w:tr w14:paraId="77E4BF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15" w:hRule="atLeast"/>
          <w:jc w:val="center"/>
        </w:trPr>
        <w:tc>
          <w:tcPr>
            <w:tcW w:w="792" w:type="dxa"/>
            <w:vMerge w:val="continue"/>
            <w:vAlign w:val="center"/>
          </w:tcPr>
          <w:p w14:paraId="0033CDD9">
            <w:pPr>
              <w:jc w:val="center"/>
              <w:rPr>
                <w:szCs w:val="21"/>
              </w:rPr>
            </w:pPr>
          </w:p>
        </w:tc>
        <w:tc>
          <w:tcPr>
            <w:tcW w:w="750" w:type="dxa"/>
            <w:vMerge w:val="restart"/>
            <w:vAlign w:val="center"/>
          </w:tcPr>
          <w:p w14:paraId="67887D00">
            <w:pPr>
              <w:jc w:val="center"/>
              <w:rPr>
                <w:szCs w:val="21"/>
              </w:rPr>
            </w:pPr>
            <w:r>
              <w:rPr>
                <w:rFonts w:hint="eastAsia"/>
                <w:szCs w:val="21"/>
              </w:rPr>
              <w:t>质量指标</w:t>
            </w:r>
          </w:p>
        </w:tc>
        <w:tc>
          <w:tcPr>
            <w:tcW w:w="1065" w:type="dxa"/>
            <w:tcBorders>
              <w:bottom w:val="single" w:color="auto" w:sz="4" w:space="0"/>
            </w:tcBorders>
            <w:vAlign w:val="center"/>
          </w:tcPr>
          <w:p w14:paraId="435D5B8B">
            <w:pPr>
              <w:jc w:val="center"/>
              <w:rPr>
                <w:rFonts w:hint="default" w:eastAsiaTheme="minorEastAsia"/>
                <w:color w:val="auto"/>
                <w:szCs w:val="21"/>
                <w:lang w:val="en-US" w:eastAsia="zh-CN"/>
              </w:rPr>
            </w:pPr>
            <w:r>
              <w:rPr>
                <w:rFonts w:hint="eastAsia"/>
                <w:color w:val="auto"/>
                <w:szCs w:val="21"/>
                <w:lang w:val="en-US" w:eastAsia="zh-CN"/>
              </w:rPr>
              <w:t>补助符合标准规定</w:t>
            </w:r>
          </w:p>
        </w:tc>
        <w:tc>
          <w:tcPr>
            <w:tcW w:w="975" w:type="dxa"/>
            <w:tcBorders>
              <w:bottom w:val="single" w:color="auto" w:sz="4" w:space="0"/>
            </w:tcBorders>
            <w:vAlign w:val="center"/>
          </w:tcPr>
          <w:p w14:paraId="5CEBCEB8">
            <w:pPr>
              <w:jc w:val="center"/>
              <w:rPr>
                <w:rFonts w:hint="eastAsia" w:eastAsiaTheme="minorEastAsia"/>
                <w:color w:val="auto"/>
                <w:szCs w:val="21"/>
                <w:lang w:eastAsia="zh-CN"/>
              </w:rPr>
            </w:pPr>
            <w:r>
              <w:rPr>
                <w:rFonts w:hint="eastAsia"/>
                <w:color w:val="auto"/>
                <w:szCs w:val="21"/>
                <w:lang w:val="en-US" w:eastAsia="zh-CN"/>
              </w:rPr>
              <w:t>符合</w:t>
            </w:r>
          </w:p>
        </w:tc>
        <w:tc>
          <w:tcPr>
            <w:tcW w:w="3698" w:type="dxa"/>
            <w:tcBorders>
              <w:bottom w:val="single" w:color="auto" w:sz="4" w:space="0"/>
            </w:tcBorders>
            <w:vAlign w:val="center"/>
          </w:tcPr>
          <w:p w14:paraId="039034A9">
            <w:pPr>
              <w:jc w:val="both"/>
              <w:rPr>
                <w:rFonts w:hint="default"/>
                <w:color w:val="auto"/>
                <w:szCs w:val="21"/>
                <w:lang w:val="en-US" w:eastAsia="zh-CN"/>
              </w:rPr>
            </w:pPr>
            <w:r>
              <w:rPr>
                <w:rFonts w:hint="eastAsia"/>
                <w:color w:val="auto"/>
                <w:szCs w:val="21"/>
                <w:lang w:val="en-US" w:eastAsia="zh-CN"/>
              </w:rPr>
              <w:t>①项目是否建立了相关标准或文件；</w:t>
            </w:r>
          </w:p>
          <w:p w14:paraId="32487CB5">
            <w:pPr>
              <w:jc w:val="left"/>
              <w:rPr>
                <w:rFonts w:hint="default"/>
                <w:color w:val="auto"/>
                <w:szCs w:val="21"/>
                <w:lang w:val="en-US"/>
              </w:rPr>
            </w:pPr>
            <w:r>
              <w:rPr>
                <w:rFonts w:hint="eastAsia"/>
                <w:color w:val="auto"/>
                <w:szCs w:val="21"/>
                <w:lang w:val="en-US" w:eastAsia="zh-CN"/>
              </w:rPr>
              <w:t>②项目按照文件规定执行。</w:t>
            </w:r>
          </w:p>
        </w:tc>
        <w:tc>
          <w:tcPr>
            <w:tcW w:w="610" w:type="dxa"/>
            <w:tcBorders>
              <w:bottom w:val="single" w:color="auto" w:sz="4" w:space="0"/>
            </w:tcBorders>
            <w:vAlign w:val="center"/>
          </w:tcPr>
          <w:p w14:paraId="1FE1FC4E">
            <w:pPr>
              <w:jc w:val="center"/>
              <w:rPr>
                <w:rFonts w:hint="default" w:eastAsiaTheme="minorEastAsia"/>
                <w:color w:val="auto"/>
                <w:lang w:val="en-US" w:eastAsia="zh-CN"/>
              </w:rPr>
            </w:pPr>
            <w:r>
              <w:rPr>
                <w:rFonts w:hint="eastAsia"/>
                <w:color w:val="auto"/>
                <w:lang w:val="en-US" w:eastAsia="zh-CN"/>
              </w:rPr>
              <w:t>2</w:t>
            </w:r>
          </w:p>
        </w:tc>
        <w:tc>
          <w:tcPr>
            <w:tcW w:w="2712" w:type="dxa"/>
            <w:tcBorders>
              <w:bottom w:val="single" w:color="auto" w:sz="4" w:space="0"/>
            </w:tcBorders>
            <w:vAlign w:val="center"/>
          </w:tcPr>
          <w:p w14:paraId="4ACA8B6F">
            <w:pPr>
              <w:jc w:val="left"/>
              <w:rPr>
                <w:rFonts w:hint="default"/>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指标各占50%权重，每完成一个指标得分1分。</w:t>
            </w:r>
          </w:p>
        </w:tc>
        <w:tc>
          <w:tcPr>
            <w:tcW w:w="806" w:type="dxa"/>
            <w:tcBorders>
              <w:bottom w:val="single" w:color="auto" w:sz="4" w:space="0"/>
            </w:tcBorders>
            <w:vAlign w:val="center"/>
          </w:tcPr>
          <w:p w14:paraId="2692EB41">
            <w:pPr>
              <w:jc w:val="center"/>
              <w:rPr>
                <w:rFonts w:hint="default" w:eastAsiaTheme="minorEastAsia"/>
                <w:color w:val="auto"/>
                <w:szCs w:val="21"/>
                <w:lang w:val="en-US" w:eastAsia="zh-CN"/>
              </w:rPr>
            </w:pPr>
            <w:r>
              <w:rPr>
                <w:rFonts w:hint="eastAsia"/>
                <w:color w:val="auto"/>
                <w:szCs w:val="21"/>
                <w:lang w:val="en-US" w:eastAsia="zh-CN"/>
              </w:rPr>
              <w:t>2</w:t>
            </w:r>
          </w:p>
        </w:tc>
      </w:tr>
      <w:tr w14:paraId="64548C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20" w:hRule="atLeast"/>
          <w:jc w:val="center"/>
        </w:trPr>
        <w:tc>
          <w:tcPr>
            <w:tcW w:w="792" w:type="dxa"/>
            <w:vMerge w:val="continue"/>
            <w:vAlign w:val="center"/>
          </w:tcPr>
          <w:p w14:paraId="10BFF252">
            <w:pPr>
              <w:jc w:val="center"/>
              <w:rPr>
                <w:color w:val="auto"/>
                <w:szCs w:val="21"/>
              </w:rPr>
            </w:pPr>
          </w:p>
        </w:tc>
        <w:tc>
          <w:tcPr>
            <w:tcW w:w="750" w:type="dxa"/>
            <w:vMerge w:val="continue"/>
            <w:vAlign w:val="center"/>
          </w:tcPr>
          <w:p w14:paraId="7E0C6EA6">
            <w:pPr>
              <w:jc w:val="center"/>
              <w:rPr>
                <w:color w:val="auto"/>
                <w:szCs w:val="21"/>
              </w:rPr>
            </w:pPr>
          </w:p>
        </w:tc>
        <w:tc>
          <w:tcPr>
            <w:tcW w:w="1065" w:type="dxa"/>
            <w:tcBorders>
              <w:bottom w:val="single" w:color="auto" w:sz="4" w:space="0"/>
            </w:tcBorders>
            <w:vAlign w:val="center"/>
          </w:tcPr>
          <w:p w14:paraId="36144A81">
            <w:pPr>
              <w:jc w:val="center"/>
              <w:rPr>
                <w:rFonts w:hint="default" w:eastAsiaTheme="minorEastAsia"/>
                <w:color w:val="auto"/>
                <w:szCs w:val="21"/>
                <w:lang w:val="en-US" w:eastAsia="zh-CN"/>
              </w:rPr>
            </w:pPr>
            <w:r>
              <w:rPr>
                <w:rFonts w:hint="eastAsia"/>
                <w:color w:val="auto"/>
                <w:szCs w:val="21"/>
                <w:lang w:val="en-US" w:eastAsia="zh-CN"/>
              </w:rPr>
              <w:t>课题研究达到立项要求</w:t>
            </w:r>
          </w:p>
        </w:tc>
        <w:tc>
          <w:tcPr>
            <w:tcW w:w="975" w:type="dxa"/>
            <w:tcBorders>
              <w:bottom w:val="single" w:color="auto" w:sz="4" w:space="0"/>
            </w:tcBorders>
            <w:vAlign w:val="center"/>
          </w:tcPr>
          <w:p w14:paraId="4DD60105">
            <w:pPr>
              <w:jc w:val="center"/>
              <w:rPr>
                <w:rFonts w:hint="eastAsia" w:eastAsiaTheme="minorEastAsia"/>
                <w:color w:val="auto"/>
                <w:szCs w:val="21"/>
                <w:lang w:val="en-US" w:eastAsia="zh-CN"/>
              </w:rPr>
            </w:pPr>
            <w:r>
              <w:rPr>
                <w:rFonts w:hint="eastAsia"/>
                <w:color w:val="auto"/>
                <w:szCs w:val="21"/>
                <w:lang w:val="en-US" w:eastAsia="zh-CN"/>
              </w:rPr>
              <w:t>达到</w:t>
            </w:r>
          </w:p>
        </w:tc>
        <w:tc>
          <w:tcPr>
            <w:tcW w:w="3698" w:type="dxa"/>
            <w:tcBorders>
              <w:bottom w:val="single" w:color="auto" w:sz="4" w:space="0"/>
            </w:tcBorders>
            <w:vAlign w:val="center"/>
          </w:tcPr>
          <w:p w14:paraId="58260077">
            <w:pPr>
              <w:jc w:val="both"/>
              <w:rPr>
                <w:rFonts w:hint="default"/>
                <w:color w:val="auto"/>
                <w:szCs w:val="21"/>
                <w:lang w:val="en-US" w:eastAsia="zh-CN"/>
              </w:rPr>
            </w:pPr>
            <w:r>
              <w:rPr>
                <w:rFonts w:hint="eastAsia"/>
                <w:color w:val="auto"/>
                <w:szCs w:val="21"/>
                <w:lang w:val="en-US" w:eastAsia="zh-CN"/>
              </w:rPr>
              <w:t>①项目研究文件里是否明确了相关要求；</w:t>
            </w:r>
          </w:p>
          <w:p w14:paraId="45FCE63D">
            <w:pPr>
              <w:jc w:val="both"/>
              <w:rPr>
                <w:color w:val="auto"/>
                <w:szCs w:val="21"/>
              </w:rPr>
            </w:pPr>
            <w:r>
              <w:rPr>
                <w:rFonts w:hint="eastAsia"/>
                <w:color w:val="auto"/>
                <w:szCs w:val="21"/>
                <w:lang w:val="en-US" w:eastAsia="zh-CN"/>
              </w:rPr>
              <w:t>②项目按照要求执行并形成报告。</w:t>
            </w:r>
          </w:p>
        </w:tc>
        <w:tc>
          <w:tcPr>
            <w:tcW w:w="610" w:type="dxa"/>
            <w:tcBorders>
              <w:bottom w:val="single" w:color="auto" w:sz="4" w:space="0"/>
            </w:tcBorders>
            <w:vAlign w:val="center"/>
          </w:tcPr>
          <w:p w14:paraId="437E3516">
            <w:pPr>
              <w:jc w:val="center"/>
              <w:rPr>
                <w:rFonts w:hint="eastAsia" w:eastAsiaTheme="minorEastAsia"/>
                <w:color w:val="auto"/>
                <w:lang w:eastAsia="zh-CN"/>
              </w:rPr>
            </w:pPr>
            <w:r>
              <w:rPr>
                <w:rFonts w:hint="eastAsia"/>
                <w:color w:val="auto"/>
                <w:szCs w:val="21"/>
                <w:lang w:val="en-US" w:eastAsia="zh-CN"/>
              </w:rPr>
              <w:t>2</w:t>
            </w:r>
          </w:p>
        </w:tc>
        <w:tc>
          <w:tcPr>
            <w:tcW w:w="2712" w:type="dxa"/>
            <w:tcBorders>
              <w:bottom w:val="single" w:color="auto" w:sz="4" w:space="0"/>
            </w:tcBorders>
            <w:vAlign w:val="center"/>
          </w:tcPr>
          <w:p w14:paraId="6328D94F">
            <w:pPr>
              <w:jc w:val="both"/>
              <w:rPr>
                <w:rFonts w:hint="default"/>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指标各占50%权重，每完成一个指标得分1分。</w:t>
            </w:r>
          </w:p>
        </w:tc>
        <w:tc>
          <w:tcPr>
            <w:tcW w:w="806" w:type="dxa"/>
            <w:tcBorders>
              <w:bottom w:val="single" w:color="auto" w:sz="4" w:space="0"/>
            </w:tcBorders>
            <w:vAlign w:val="center"/>
          </w:tcPr>
          <w:p w14:paraId="6AC68EB6">
            <w:pPr>
              <w:jc w:val="center"/>
              <w:rPr>
                <w:rFonts w:hint="eastAsia" w:eastAsiaTheme="minorEastAsia"/>
                <w:color w:val="auto"/>
                <w:szCs w:val="21"/>
                <w:lang w:val="en-US" w:eastAsia="zh-CN"/>
              </w:rPr>
            </w:pPr>
            <w:r>
              <w:rPr>
                <w:rFonts w:hint="eastAsia"/>
                <w:color w:val="auto"/>
                <w:szCs w:val="21"/>
                <w:lang w:val="en-US" w:eastAsia="zh-CN"/>
              </w:rPr>
              <w:t>2</w:t>
            </w:r>
          </w:p>
        </w:tc>
      </w:tr>
      <w:tr w14:paraId="08FE10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35" w:hRule="atLeast"/>
          <w:jc w:val="center"/>
        </w:trPr>
        <w:tc>
          <w:tcPr>
            <w:tcW w:w="792" w:type="dxa"/>
            <w:vMerge w:val="continue"/>
            <w:vAlign w:val="center"/>
          </w:tcPr>
          <w:p w14:paraId="1CB37A45">
            <w:pPr>
              <w:jc w:val="center"/>
              <w:rPr>
                <w:szCs w:val="21"/>
              </w:rPr>
            </w:pPr>
          </w:p>
        </w:tc>
        <w:tc>
          <w:tcPr>
            <w:tcW w:w="750" w:type="dxa"/>
            <w:vMerge w:val="continue"/>
            <w:vAlign w:val="center"/>
          </w:tcPr>
          <w:p w14:paraId="78CE5D09">
            <w:pPr>
              <w:jc w:val="center"/>
              <w:rPr>
                <w:szCs w:val="21"/>
              </w:rPr>
            </w:pPr>
          </w:p>
        </w:tc>
        <w:tc>
          <w:tcPr>
            <w:tcW w:w="1065" w:type="dxa"/>
            <w:tcBorders>
              <w:bottom w:val="single" w:color="auto" w:sz="4" w:space="0"/>
            </w:tcBorders>
            <w:vAlign w:val="center"/>
          </w:tcPr>
          <w:p w14:paraId="177436B9">
            <w:pPr>
              <w:jc w:val="center"/>
              <w:rPr>
                <w:rFonts w:hint="default" w:eastAsiaTheme="minorEastAsia"/>
                <w:color w:val="auto"/>
                <w:szCs w:val="21"/>
                <w:lang w:val="en-US" w:eastAsia="zh-CN"/>
              </w:rPr>
            </w:pPr>
            <w:r>
              <w:rPr>
                <w:rFonts w:hint="eastAsia"/>
                <w:color w:val="auto"/>
                <w:szCs w:val="21"/>
                <w:lang w:val="en-US" w:eastAsia="zh-CN"/>
              </w:rPr>
              <w:t>采信登记系统按要求升级</w:t>
            </w:r>
          </w:p>
        </w:tc>
        <w:tc>
          <w:tcPr>
            <w:tcW w:w="975" w:type="dxa"/>
            <w:tcBorders>
              <w:bottom w:val="single" w:color="auto" w:sz="4" w:space="0"/>
            </w:tcBorders>
            <w:vAlign w:val="center"/>
          </w:tcPr>
          <w:p w14:paraId="63CB069A">
            <w:pPr>
              <w:jc w:val="center"/>
              <w:rPr>
                <w:rFonts w:hint="eastAsia" w:eastAsiaTheme="minorEastAsia"/>
                <w:color w:val="auto"/>
                <w:szCs w:val="21"/>
                <w:lang w:val="en-US" w:eastAsia="zh-CN"/>
              </w:rPr>
            </w:pPr>
            <w:r>
              <w:rPr>
                <w:rFonts w:hint="eastAsia"/>
                <w:color w:val="auto"/>
                <w:szCs w:val="21"/>
                <w:lang w:val="en-US" w:eastAsia="zh-CN"/>
              </w:rPr>
              <w:t>达到</w:t>
            </w:r>
          </w:p>
        </w:tc>
        <w:tc>
          <w:tcPr>
            <w:tcW w:w="3698" w:type="dxa"/>
            <w:tcBorders>
              <w:bottom w:val="single" w:color="auto" w:sz="4" w:space="0"/>
            </w:tcBorders>
            <w:vAlign w:val="center"/>
          </w:tcPr>
          <w:p w14:paraId="41E59D63">
            <w:pPr>
              <w:jc w:val="both"/>
              <w:rPr>
                <w:rFonts w:hint="default"/>
                <w:color w:val="auto"/>
                <w:szCs w:val="21"/>
                <w:lang w:val="en-US" w:eastAsia="zh-CN"/>
              </w:rPr>
            </w:pPr>
            <w:r>
              <w:rPr>
                <w:rFonts w:hint="eastAsia"/>
                <w:color w:val="auto"/>
                <w:szCs w:val="21"/>
                <w:lang w:val="en-US" w:eastAsia="zh-CN"/>
              </w:rPr>
              <w:t>①是否建立采信登记系统；</w:t>
            </w:r>
          </w:p>
          <w:p w14:paraId="74958422">
            <w:pPr>
              <w:jc w:val="left"/>
              <w:rPr>
                <w:rFonts w:hint="eastAsia"/>
                <w:color w:val="auto"/>
                <w:szCs w:val="21"/>
                <w:lang w:val="en-US" w:eastAsia="zh-CN"/>
              </w:rPr>
            </w:pPr>
            <w:r>
              <w:rPr>
                <w:rFonts w:hint="eastAsia"/>
                <w:color w:val="auto"/>
                <w:szCs w:val="21"/>
                <w:lang w:val="en-US" w:eastAsia="zh-CN"/>
              </w:rPr>
              <w:t>②是否明确采信登记系统升级要求；</w:t>
            </w:r>
          </w:p>
          <w:p w14:paraId="54127ABF">
            <w:pPr>
              <w:jc w:val="left"/>
              <w:rPr>
                <w:rFonts w:hint="default"/>
                <w:color w:val="auto"/>
                <w:szCs w:val="21"/>
                <w:lang w:val="en-US" w:eastAsia="zh-CN"/>
              </w:rPr>
            </w:pPr>
            <w:r>
              <w:rPr>
                <w:rFonts w:hint="eastAsia"/>
                <w:color w:val="auto"/>
                <w:szCs w:val="21"/>
                <w:lang w:val="en-US" w:eastAsia="zh-CN"/>
              </w:rPr>
              <w:t>③是否按要求落实采信登记系统升级工作。</w:t>
            </w:r>
          </w:p>
        </w:tc>
        <w:tc>
          <w:tcPr>
            <w:tcW w:w="610" w:type="dxa"/>
            <w:tcBorders>
              <w:bottom w:val="single" w:color="auto" w:sz="4" w:space="0"/>
            </w:tcBorders>
            <w:vAlign w:val="center"/>
          </w:tcPr>
          <w:p w14:paraId="23CA9ED7">
            <w:pPr>
              <w:jc w:val="center"/>
              <w:rPr>
                <w:rFonts w:hint="default" w:eastAsiaTheme="minorEastAsia"/>
                <w:color w:val="auto"/>
                <w:lang w:val="en-US" w:eastAsia="zh-CN"/>
              </w:rPr>
            </w:pPr>
            <w:r>
              <w:rPr>
                <w:rFonts w:hint="eastAsia"/>
                <w:color w:val="auto"/>
                <w:lang w:val="en-US" w:eastAsia="zh-CN"/>
              </w:rPr>
              <w:t>3</w:t>
            </w:r>
          </w:p>
        </w:tc>
        <w:tc>
          <w:tcPr>
            <w:tcW w:w="2712" w:type="dxa"/>
            <w:tcBorders>
              <w:bottom w:val="single" w:color="auto" w:sz="4" w:space="0"/>
            </w:tcBorders>
            <w:vAlign w:val="center"/>
          </w:tcPr>
          <w:p w14:paraId="4175D5D1">
            <w:pPr>
              <w:jc w:val="left"/>
              <w:rPr>
                <w:rFonts w:hint="default"/>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指标各占1/3权重，每完成一个指标得分1分。</w:t>
            </w:r>
          </w:p>
        </w:tc>
        <w:tc>
          <w:tcPr>
            <w:tcW w:w="806" w:type="dxa"/>
            <w:tcBorders>
              <w:bottom w:val="single" w:color="auto" w:sz="4" w:space="0"/>
            </w:tcBorders>
            <w:vAlign w:val="center"/>
          </w:tcPr>
          <w:p w14:paraId="56C10FCA">
            <w:pPr>
              <w:jc w:val="center"/>
              <w:rPr>
                <w:rFonts w:hint="default" w:eastAsiaTheme="minorEastAsia"/>
                <w:color w:val="auto"/>
                <w:szCs w:val="21"/>
                <w:lang w:val="en-US" w:eastAsia="zh-CN"/>
              </w:rPr>
            </w:pPr>
            <w:r>
              <w:rPr>
                <w:rFonts w:hint="eastAsia"/>
                <w:color w:val="auto"/>
                <w:szCs w:val="21"/>
                <w:lang w:val="en-US" w:eastAsia="zh-CN"/>
              </w:rPr>
              <w:t>3</w:t>
            </w:r>
          </w:p>
        </w:tc>
      </w:tr>
      <w:tr w14:paraId="371447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55" w:hRule="atLeast"/>
          <w:jc w:val="center"/>
        </w:trPr>
        <w:tc>
          <w:tcPr>
            <w:tcW w:w="792" w:type="dxa"/>
            <w:vMerge w:val="continue"/>
            <w:vAlign w:val="center"/>
          </w:tcPr>
          <w:p w14:paraId="46331D32">
            <w:pPr>
              <w:jc w:val="center"/>
              <w:rPr>
                <w:szCs w:val="21"/>
              </w:rPr>
            </w:pPr>
          </w:p>
        </w:tc>
        <w:tc>
          <w:tcPr>
            <w:tcW w:w="750" w:type="dxa"/>
            <w:vMerge w:val="restart"/>
            <w:vAlign w:val="center"/>
          </w:tcPr>
          <w:p w14:paraId="13C2FDE2">
            <w:pPr>
              <w:jc w:val="center"/>
              <w:rPr>
                <w:szCs w:val="21"/>
              </w:rPr>
            </w:pPr>
            <w:r>
              <w:rPr>
                <w:rFonts w:hint="eastAsia"/>
                <w:szCs w:val="21"/>
              </w:rPr>
              <w:t>时效指标</w:t>
            </w:r>
          </w:p>
        </w:tc>
        <w:tc>
          <w:tcPr>
            <w:tcW w:w="1065" w:type="dxa"/>
            <w:vAlign w:val="center"/>
          </w:tcPr>
          <w:p w14:paraId="27FF105A">
            <w:pPr>
              <w:jc w:val="center"/>
              <w:rPr>
                <w:rFonts w:hint="default" w:eastAsiaTheme="minorEastAsia"/>
                <w:color w:val="auto"/>
                <w:szCs w:val="21"/>
                <w:lang w:val="en-US" w:eastAsia="zh-CN"/>
              </w:rPr>
            </w:pPr>
            <w:r>
              <w:rPr>
                <w:rFonts w:hint="eastAsia"/>
                <w:color w:val="auto"/>
                <w:szCs w:val="21"/>
                <w:lang w:val="en-US" w:eastAsia="zh-CN"/>
              </w:rPr>
              <w:t>课题完成时间</w:t>
            </w:r>
          </w:p>
        </w:tc>
        <w:tc>
          <w:tcPr>
            <w:tcW w:w="975" w:type="dxa"/>
            <w:vAlign w:val="center"/>
          </w:tcPr>
          <w:p w14:paraId="2B779411">
            <w:pPr>
              <w:jc w:val="center"/>
              <w:rPr>
                <w:rFonts w:hint="eastAsia" w:eastAsiaTheme="minorEastAsia"/>
                <w:color w:val="auto"/>
                <w:szCs w:val="21"/>
                <w:lang w:val="en-US" w:eastAsia="zh-CN"/>
              </w:rPr>
            </w:pPr>
            <w:r>
              <w:rPr>
                <w:rFonts w:hint="eastAsia"/>
                <w:color w:val="auto"/>
                <w:szCs w:val="21"/>
                <w:lang w:val="en-US" w:eastAsia="zh-CN"/>
              </w:rPr>
              <w:t>完成</w:t>
            </w:r>
          </w:p>
        </w:tc>
        <w:tc>
          <w:tcPr>
            <w:tcW w:w="3698" w:type="dxa"/>
            <w:vAlign w:val="center"/>
          </w:tcPr>
          <w:p w14:paraId="70A817DE">
            <w:pPr>
              <w:jc w:val="both"/>
              <w:rPr>
                <w:rFonts w:hint="default"/>
                <w:color w:val="auto"/>
                <w:szCs w:val="21"/>
                <w:lang w:val="en-US" w:eastAsia="zh-CN"/>
              </w:rPr>
            </w:pPr>
            <w:r>
              <w:rPr>
                <w:rFonts w:hint="eastAsia"/>
                <w:color w:val="auto"/>
                <w:szCs w:val="21"/>
                <w:lang w:val="en-US" w:eastAsia="zh-CN"/>
              </w:rPr>
              <w:t>①是否明确课题完成时间；</w:t>
            </w:r>
          </w:p>
          <w:p w14:paraId="4C96B52A">
            <w:pPr>
              <w:rPr>
                <w:rFonts w:hint="default" w:eastAsiaTheme="minorEastAsia"/>
                <w:color w:val="auto"/>
                <w:szCs w:val="21"/>
                <w:lang w:val="en-US" w:eastAsia="zh-CN"/>
              </w:rPr>
            </w:pPr>
            <w:r>
              <w:rPr>
                <w:rFonts w:hint="eastAsia"/>
                <w:color w:val="auto"/>
                <w:szCs w:val="21"/>
                <w:lang w:val="en-US" w:eastAsia="zh-CN"/>
              </w:rPr>
              <w:t>②是否在规定时间内完成课题研究内容并形成结论。</w:t>
            </w:r>
          </w:p>
        </w:tc>
        <w:tc>
          <w:tcPr>
            <w:tcW w:w="610" w:type="dxa"/>
            <w:vAlign w:val="center"/>
          </w:tcPr>
          <w:p w14:paraId="4838BF4E">
            <w:pPr>
              <w:jc w:val="center"/>
              <w:rPr>
                <w:rFonts w:hint="eastAsia" w:eastAsiaTheme="minorEastAsia"/>
                <w:color w:val="auto"/>
                <w:lang w:val="en-US" w:eastAsia="zh-CN"/>
              </w:rPr>
            </w:pPr>
            <w:r>
              <w:rPr>
                <w:rFonts w:hint="eastAsia"/>
                <w:color w:val="auto"/>
                <w:lang w:val="en-US" w:eastAsia="zh-CN"/>
              </w:rPr>
              <w:t>2</w:t>
            </w:r>
          </w:p>
        </w:tc>
        <w:tc>
          <w:tcPr>
            <w:tcW w:w="2712" w:type="dxa"/>
            <w:vAlign w:val="center"/>
          </w:tcPr>
          <w:p w14:paraId="33D566C8">
            <w:pPr>
              <w:jc w:val="both"/>
              <w:rPr>
                <w:rFonts w:hint="default"/>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指标各占50%权重，每完成一个指标得分1分。</w:t>
            </w:r>
          </w:p>
        </w:tc>
        <w:tc>
          <w:tcPr>
            <w:tcW w:w="806" w:type="dxa"/>
            <w:vAlign w:val="center"/>
          </w:tcPr>
          <w:p w14:paraId="06C986BC">
            <w:pPr>
              <w:jc w:val="center"/>
              <w:rPr>
                <w:rFonts w:hint="eastAsia" w:eastAsiaTheme="minorEastAsia"/>
                <w:color w:val="auto"/>
                <w:szCs w:val="21"/>
                <w:lang w:val="en-US" w:eastAsia="zh-CN"/>
              </w:rPr>
            </w:pPr>
            <w:r>
              <w:rPr>
                <w:rFonts w:hint="eastAsia"/>
                <w:color w:val="auto"/>
                <w:szCs w:val="21"/>
                <w:lang w:val="en-US" w:eastAsia="zh-CN"/>
              </w:rPr>
              <w:t>2</w:t>
            </w:r>
          </w:p>
        </w:tc>
      </w:tr>
      <w:tr w14:paraId="302822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5" w:hRule="atLeast"/>
          <w:jc w:val="center"/>
        </w:trPr>
        <w:tc>
          <w:tcPr>
            <w:tcW w:w="792" w:type="dxa"/>
            <w:vMerge w:val="continue"/>
            <w:vAlign w:val="center"/>
          </w:tcPr>
          <w:p w14:paraId="1AAB85F2">
            <w:pPr>
              <w:jc w:val="center"/>
              <w:rPr>
                <w:szCs w:val="21"/>
              </w:rPr>
            </w:pPr>
          </w:p>
        </w:tc>
        <w:tc>
          <w:tcPr>
            <w:tcW w:w="750" w:type="dxa"/>
            <w:vMerge w:val="continue"/>
            <w:vAlign w:val="center"/>
          </w:tcPr>
          <w:p w14:paraId="74526E0D">
            <w:pPr>
              <w:jc w:val="center"/>
              <w:rPr>
                <w:szCs w:val="21"/>
              </w:rPr>
            </w:pPr>
          </w:p>
        </w:tc>
        <w:tc>
          <w:tcPr>
            <w:tcW w:w="1065" w:type="dxa"/>
            <w:vAlign w:val="center"/>
          </w:tcPr>
          <w:p w14:paraId="440E2D90">
            <w:pPr>
              <w:jc w:val="center"/>
              <w:rPr>
                <w:rFonts w:hint="default"/>
                <w:color w:val="auto"/>
                <w:szCs w:val="21"/>
                <w:lang w:val="en-US" w:eastAsia="zh-CN"/>
              </w:rPr>
            </w:pPr>
            <w:r>
              <w:rPr>
                <w:rFonts w:hint="eastAsia"/>
                <w:color w:val="auto"/>
                <w:szCs w:val="21"/>
                <w:lang w:val="en-US" w:eastAsia="zh-CN"/>
              </w:rPr>
              <w:t>运维完成时间</w:t>
            </w:r>
          </w:p>
        </w:tc>
        <w:tc>
          <w:tcPr>
            <w:tcW w:w="975" w:type="dxa"/>
            <w:vAlign w:val="center"/>
          </w:tcPr>
          <w:p w14:paraId="075354A7">
            <w:pPr>
              <w:jc w:val="center"/>
              <w:rPr>
                <w:rFonts w:hint="eastAsia" w:eastAsiaTheme="minorEastAsia"/>
                <w:color w:val="auto"/>
                <w:szCs w:val="21"/>
                <w:lang w:val="en-US" w:eastAsia="zh-CN"/>
              </w:rPr>
            </w:pPr>
            <w:r>
              <w:rPr>
                <w:rFonts w:hint="eastAsia"/>
                <w:color w:val="auto"/>
                <w:szCs w:val="21"/>
                <w:lang w:val="en-US" w:eastAsia="zh-CN"/>
              </w:rPr>
              <w:t>完成</w:t>
            </w:r>
          </w:p>
        </w:tc>
        <w:tc>
          <w:tcPr>
            <w:tcW w:w="3698" w:type="dxa"/>
            <w:vAlign w:val="center"/>
          </w:tcPr>
          <w:p w14:paraId="684ADED5">
            <w:pPr>
              <w:jc w:val="both"/>
              <w:rPr>
                <w:rFonts w:hint="default"/>
                <w:color w:val="auto"/>
                <w:szCs w:val="21"/>
                <w:lang w:val="en-US" w:eastAsia="zh-CN"/>
              </w:rPr>
            </w:pPr>
            <w:r>
              <w:rPr>
                <w:rFonts w:hint="eastAsia"/>
                <w:color w:val="auto"/>
                <w:szCs w:val="21"/>
                <w:lang w:val="en-US" w:eastAsia="zh-CN"/>
              </w:rPr>
              <w:t>①是否明确了信息平台运行维护时间；</w:t>
            </w:r>
          </w:p>
          <w:p w14:paraId="34F98F3A">
            <w:pPr>
              <w:jc w:val="left"/>
              <w:rPr>
                <w:rFonts w:hint="eastAsia"/>
                <w:color w:val="auto"/>
                <w:szCs w:val="21"/>
                <w:lang w:val="en-US" w:eastAsia="zh-CN"/>
              </w:rPr>
            </w:pPr>
            <w:r>
              <w:rPr>
                <w:rFonts w:hint="eastAsia"/>
                <w:color w:val="auto"/>
                <w:szCs w:val="21"/>
                <w:lang w:val="en-US" w:eastAsia="zh-CN"/>
              </w:rPr>
              <w:t>②是否落实信息平台维护工作；</w:t>
            </w:r>
          </w:p>
          <w:p w14:paraId="398F7B0D">
            <w:pPr>
              <w:jc w:val="left"/>
              <w:rPr>
                <w:rFonts w:hint="default"/>
                <w:color w:val="auto"/>
                <w:szCs w:val="21"/>
                <w:lang w:val="en-US"/>
              </w:rPr>
            </w:pPr>
            <w:r>
              <w:rPr>
                <w:rFonts w:hint="eastAsia"/>
                <w:color w:val="auto"/>
                <w:szCs w:val="21"/>
                <w:lang w:val="en-US" w:eastAsia="zh-CN"/>
              </w:rPr>
              <w:t>③是否达到要求并有台账。</w:t>
            </w:r>
          </w:p>
        </w:tc>
        <w:tc>
          <w:tcPr>
            <w:tcW w:w="610" w:type="dxa"/>
            <w:vAlign w:val="center"/>
          </w:tcPr>
          <w:p w14:paraId="601C70DF">
            <w:pPr>
              <w:jc w:val="center"/>
              <w:rPr>
                <w:rFonts w:hint="default" w:eastAsiaTheme="minorEastAsia"/>
                <w:color w:val="auto"/>
                <w:lang w:val="en-US" w:eastAsia="zh-CN"/>
              </w:rPr>
            </w:pPr>
            <w:r>
              <w:rPr>
                <w:rFonts w:hint="eastAsia"/>
                <w:color w:val="auto"/>
                <w:lang w:val="en-US" w:eastAsia="zh-CN"/>
              </w:rPr>
              <w:t>3</w:t>
            </w:r>
          </w:p>
        </w:tc>
        <w:tc>
          <w:tcPr>
            <w:tcW w:w="2712" w:type="dxa"/>
            <w:vAlign w:val="center"/>
          </w:tcPr>
          <w:p w14:paraId="450A53A0">
            <w:pPr>
              <w:jc w:val="both"/>
              <w:rPr>
                <w:rFonts w:hint="default"/>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指标各占1/3权重，每完成一个指标得分1分。</w:t>
            </w:r>
          </w:p>
        </w:tc>
        <w:tc>
          <w:tcPr>
            <w:tcW w:w="806" w:type="dxa"/>
            <w:vAlign w:val="center"/>
          </w:tcPr>
          <w:p w14:paraId="77ACB1DA">
            <w:pPr>
              <w:jc w:val="center"/>
              <w:rPr>
                <w:rFonts w:hint="default" w:eastAsiaTheme="minorEastAsia"/>
                <w:color w:val="auto"/>
                <w:szCs w:val="21"/>
                <w:lang w:val="en-US" w:eastAsia="zh-CN"/>
              </w:rPr>
            </w:pPr>
            <w:r>
              <w:rPr>
                <w:rFonts w:hint="eastAsia"/>
                <w:color w:val="auto"/>
                <w:szCs w:val="21"/>
                <w:lang w:val="en-US" w:eastAsia="zh-CN"/>
              </w:rPr>
              <w:t>3</w:t>
            </w:r>
          </w:p>
        </w:tc>
      </w:tr>
      <w:tr w14:paraId="636126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8" w:hRule="atLeast"/>
          <w:jc w:val="center"/>
        </w:trPr>
        <w:tc>
          <w:tcPr>
            <w:tcW w:w="792" w:type="dxa"/>
            <w:vMerge w:val="continue"/>
            <w:vAlign w:val="center"/>
          </w:tcPr>
          <w:p w14:paraId="607A897C">
            <w:pPr>
              <w:jc w:val="center"/>
              <w:rPr>
                <w:szCs w:val="21"/>
              </w:rPr>
            </w:pPr>
          </w:p>
        </w:tc>
        <w:tc>
          <w:tcPr>
            <w:tcW w:w="750" w:type="dxa"/>
            <w:vMerge w:val="continue"/>
            <w:vAlign w:val="center"/>
          </w:tcPr>
          <w:p w14:paraId="73AA61D0">
            <w:pPr>
              <w:jc w:val="center"/>
              <w:rPr>
                <w:szCs w:val="21"/>
              </w:rPr>
            </w:pPr>
          </w:p>
        </w:tc>
        <w:tc>
          <w:tcPr>
            <w:tcW w:w="1065" w:type="dxa"/>
            <w:vAlign w:val="center"/>
          </w:tcPr>
          <w:p w14:paraId="4DE24D92">
            <w:pPr>
              <w:jc w:val="left"/>
              <w:rPr>
                <w:rFonts w:hint="default"/>
                <w:color w:val="auto"/>
                <w:szCs w:val="21"/>
                <w:lang w:val="en-US" w:eastAsia="zh-CN"/>
              </w:rPr>
            </w:pPr>
            <w:r>
              <w:rPr>
                <w:rFonts w:hint="eastAsia"/>
                <w:color w:val="auto"/>
                <w:szCs w:val="21"/>
                <w:lang w:val="en-US" w:eastAsia="zh-CN"/>
              </w:rPr>
              <w:t>补助项目完成时间</w:t>
            </w:r>
          </w:p>
        </w:tc>
        <w:tc>
          <w:tcPr>
            <w:tcW w:w="975" w:type="dxa"/>
            <w:vAlign w:val="center"/>
          </w:tcPr>
          <w:p w14:paraId="0C5E7C38">
            <w:pPr>
              <w:jc w:val="center"/>
              <w:rPr>
                <w:rFonts w:hint="default" w:eastAsiaTheme="minorEastAsia"/>
                <w:color w:val="000000" w:themeColor="text1"/>
                <w:szCs w:val="21"/>
                <w:lang w:val="en-US" w:eastAsia="zh-CN"/>
                <w14:textFill>
                  <w14:solidFill>
                    <w14:schemeClr w14:val="tx1"/>
                  </w14:solidFill>
                </w14:textFill>
              </w:rPr>
            </w:pPr>
            <w:r>
              <w:rPr>
                <w:rFonts w:hint="eastAsia"/>
                <w:color w:val="auto"/>
                <w:szCs w:val="21"/>
                <w:lang w:val="en-US" w:eastAsia="zh-CN"/>
              </w:rPr>
              <w:t>未完成</w:t>
            </w:r>
          </w:p>
        </w:tc>
        <w:tc>
          <w:tcPr>
            <w:tcW w:w="3698" w:type="dxa"/>
            <w:vAlign w:val="center"/>
          </w:tcPr>
          <w:p w14:paraId="7274F2F3">
            <w:pPr>
              <w:jc w:val="both"/>
              <w:rPr>
                <w:rFonts w:hint="default"/>
                <w:color w:val="auto"/>
                <w:szCs w:val="21"/>
                <w:lang w:val="en-US" w:eastAsia="zh-CN"/>
              </w:rPr>
            </w:pPr>
            <w:r>
              <w:rPr>
                <w:rFonts w:hint="eastAsia"/>
                <w:color w:val="auto"/>
                <w:szCs w:val="21"/>
                <w:lang w:val="en-US" w:eastAsia="zh-CN"/>
              </w:rPr>
              <w:t>①是否明确了补助项目完成时间；</w:t>
            </w:r>
          </w:p>
          <w:p w14:paraId="73705065">
            <w:pPr>
              <w:jc w:val="left"/>
              <w:rPr>
                <w:rFonts w:hint="default" w:eastAsiaTheme="minorEastAsia"/>
                <w:color w:val="000000" w:themeColor="text1"/>
                <w:szCs w:val="21"/>
                <w:lang w:val="en-US" w:eastAsia="zh-CN"/>
                <w14:textFill>
                  <w14:solidFill>
                    <w14:schemeClr w14:val="tx1"/>
                  </w14:solidFill>
                </w14:textFill>
              </w:rPr>
            </w:pPr>
            <w:r>
              <w:rPr>
                <w:rFonts w:hint="eastAsia"/>
                <w:color w:val="auto"/>
                <w:szCs w:val="21"/>
                <w:lang w:val="en-US" w:eastAsia="zh-CN"/>
              </w:rPr>
              <w:t>②是否在时间范围内完成补助工作；</w:t>
            </w:r>
          </w:p>
        </w:tc>
        <w:tc>
          <w:tcPr>
            <w:tcW w:w="610" w:type="dxa"/>
            <w:vAlign w:val="center"/>
          </w:tcPr>
          <w:p w14:paraId="6F3C431F">
            <w:pPr>
              <w:jc w:val="center"/>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tc>
        <w:tc>
          <w:tcPr>
            <w:tcW w:w="2712" w:type="dxa"/>
            <w:vAlign w:val="center"/>
          </w:tcPr>
          <w:p w14:paraId="0B86DC91">
            <w:pPr>
              <w:jc w:val="both"/>
              <w:rPr>
                <w:rFonts w:hint="default"/>
                <w:color w:val="000000" w:themeColor="text1"/>
                <w:szCs w:val="21"/>
                <w:lang w:val="en-US" w:eastAsia="zh-CN"/>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指标各占50%权重，每完成一个指标得分1分。</w:t>
            </w:r>
          </w:p>
        </w:tc>
        <w:tc>
          <w:tcPr>
            <w:tcW w:w="806" w:type="dxa"/>
            <w:vAlign w:val="center"/>
          </w:tcPr>
          <w:p w14:paraId="58044E6A">
            <w:pPr>
              <w:jc w:val="center"/>
              <w:rPr>
                <w:rFonts w:hint="default" w:eastAsiaTheme="minorEastAsia"/>
                <w:color w:val="000000" w:themeColor="text1"/>
                <w:szCs w:val="21"/>
                <w:lang w:val="en-US" w:eastAsia="zh-CN"/>
                <w14:textFill>
                  <w14:solidFill>
                    <w14:schemeClr w14:val="tx1"/>
                  </w14:solidFill>
                </w14:textFill>
              </w:rPr>
            </w:pPr>
            <w:r>
              <w:rPr>
                <w:rFonts w:hint="eastAsia"/>
                <w:color w:val="auto"/>
                <w:szCs w:val="21"/>
                <w:lang w:val="en-US" w:eastAsia="zh-CN"/>
              </w:rPr>
              <w:t>0</w:t>
            </w:r>
          </w:p>
        </w:tc>
      </w:tr>
      <w:tr w14:paraId="7ECAF1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70" w:hRule="atLeast"/>
          <w:jc w:val="center"/>
        </w:trPr>
        <w:tc>
          <w:tcPr>
            <w:tcW w:w="792" w:type="dxa"/>
            <w:vMerge w:val="restart"/>
            <w:tcBorders>
              <w:top w:val="single" w:color="auto" w:sz="4" w:space="0"/>
            </w:tcBorders>
            <w:vAlign w:val="center"/>
          </w:tcPr>
          <w:p w14:paraId="7DB8DE8A">
            <w:pPr>
              <w:jc w:val="center"/>
              <w:rPr>
                <w:szCs w:val="21"/>
              </w:rPr>
            </w:pPr>
          </w:p>
          <w:p w14:paraId="2BD63D9A">
            <w:pPr>
              <w:jc w:val="center"/>
              <w:rPr>
                <w:szCs w:val="21"/>
              </w:rPr>
            </w:pPr>
          </w:p>
          <w:p w14:paraId="50C24497">
            <w:pPr>
              <w:jc w:val="center"/>
              <w:rPr>
                <w:szCs w:val="21"/>
              </w:rPr>
            </w:pPr>
            <w:r>
              <w:rPr>
                <w:szCs w:val="21"/>
              </w:rPr>
              <w:t>效益指标</w:t>
            </w:r>
          </w:p>
          <w:p w14:paraId="65CE1E5C">
            <w:pPr>
              <w:jc w:val="center"/>
              <w:rPr>
                <w:szCs w:val="21"/>
              </w:rPr>
            </w:pPr>
            <w:r>
              <w:rPr>
                <w:szCs w:val="21"/>
              </w:rPr>
              <w:t>（</w:t>
            </w:r>
            <w:r>
              <w:rPr>
                <w:rFonts w:hint="eastAsia"/>
                <w:color w:val="000000" w:themeColor="text1"/>
                <w:szCs w:val="21"/>
                <w:lang w:val="en-US" w:eastAsia="zh-CN"/>
                <w14:textFill>
                  <w14:solidFill>
                    <w14:schemeClr w14:val="tx1"/>
                  </w14:solidFill>
                </w14:textFill>
              </w:rPr>
              <w:t>30</w:t>
            </w:r>
            <w:r>
              <w:rPr>
                <w:szCs w:val="21"/>
              </w:rPr>
              <w:t>分）</w:t>
            </w:r>
          </w:p>
          <w:p w14:paraId="4B760734">
            <w:pPr>
              <w:jc w:val="center"/>
              <w:rPr>
                <w:szCs w:val="21"/>
              </w:rPr>
            </w:pPr>
          </w:p>
        </w:tc>
        <w:tc>
          <w:tcPr>
            <w:tcW w:w="750" w:type="dxa"/>
            <w:vMerge w:val="restart"/>
            <w:tcBorders>
              <w:top w:val="single" w:color="auto" w:sz="4" w:space="0"/>
            </w:tcBorders>
            <w:vAlign w:val="center"/>
          </w:tcPr>
          <w:p w14:paraId="1780AA1F">
            <w:pPr>
              <w:jc w:val="center"/>
              <w:rPr>
                <w:rFonts w:hint="default"/>
                <w:szCs w:val="21"/>
                <w:lang w:val="en-US"/>
              </w:rPr>
            </w:pPr>
            <w:r>
              <w:rPr>
                <w:rFonts w:hint="eastAsia"/>
                <w:szCs w:val="21"/>
                <w:lang w:val="en-US" w:eastAsia="zh-CN"/>
              </w:rPr>
              <w:t>社会效益</w:t>
            </w:r>
          </w:p>
        </w:tc>
        <w:tc>
          <w:tcPr>
            <w:tcW w:w="1065" w:type="dxa"/>
            <w:tcBorders>
              <w:top w:val="single" w:color="auto" w:sz="4" w:space="0"/>
              <w:bottom w:val="single" w:color="auto" w:sz="4" w:space="0"/>
            </w:tcBorders>
            <w:vAlign w:val="center"/>
          </w:tcPr>
          <w:p w14:paraId="74CE964F">
            <w:pPr>
              <w:jc w:val="center"/>
              <w:rPr>
                <w:color w:val="auto"/>
                <w:szCs w:val="21"/>
              </w:rPr>
            </w:pPr>
            <w:r>
              <w:rPr>
                <w:rFonts w:hint="eastAsia"/>
                <w:color w:val="auto"/>
                <w:szCs w:val="21"/>
              </w:rPr>
              <w:t>扩大绿色建材社会认可度</w:t>
            </w:r>
          </w:p>
        </w:tc>
        <w:tc>
          <w:tcPr>
            <w:tcW w:w="975" w:type="dxa"/>
            <w:tcBorders>
              <w:top w:val="single" w:color="auto" w:sz="4" w:space="0"/>
              <w:bottom w:val="single" w:color="auto" w:sz="4" w:space="0"/>
            </w:tcBorders>
            <w:vAlign w:val="center"/>
          </w:tcPr>
          <w:p w14:paraId="597D7242">
            <w:pPr>
              <w:jc w:val="center"/>
              <w:rPr>
                <w:color w:val="auto"/>
                <w:szCs w:val="21"/>
              </w:rPr>
            </w:pPr>
            <w:r>
              <w:rPr>
                <w:color w:val="auto"/>
                <w:szCs w:val="21"/>
              </w:rPr>
              <w:t>较高</w:t>
            </w:r>
          </w:p>
        </w:tc>
        <w:tc>
          <w:tcPr>
            <w:tcW w:w="3698" w:type="dxa"/>
            <w:tcBorders>
              <w:top w:val="single" w:color="auto" w:sz="4" w:space="0"/>
              <w:bottom w:val="single" w:color="auto" w:sz="4" w:space="0"/>
            </w:tcBorders>
            <w:vAlign w:val="center"/>
          </w:tcPr>
          <w:p w14:paraId="333ED305">
            <w:pPr>
              <w:jc w:val="both"/>
              <w:rPr>
                <w:rFonts w:hint="default"/>
                <w:color w:val="auto"/>
                <w:szCs w:val="21"/>
                <w:lang w:val="en-US" w:eastAsia="zh-CN"/>
              </w:rPr>
            </w:pPr>
            <w:r>
              <w:rPr>
                <w:rFonts w:hint="eastAsia"/>
                <w:color w:val="auto"/>
                <w:szCs w:val="21"/>
                <w:lang w:val="en-US" w:eastAsia="zh-CN"/>
              </w:rPr>
              <w:t>①是否制定绿色建材宣传计划；</w:t>
            </w:r>
          </w:p>
          <w:p w14:paraId="28ED9F9F">
            <w:pPr>
              <w:jc w:val="left"/>
              <w:rPr>
                <w:rFonts w:hint="default"/>
                <w:color w:val="auto"/>
                <w:szCs w:val="21"/>
                <w:lang w:val="en-US" w:eastAsia="zh-CN"/>
              </w:rPr>
            </w:pPr>
            <w:r>
              <w:rPr>
                <w:rFonts w:hint="eastAsia"/>
                <w:color w:val="auto"/>
                <w:szCs w:val="21"/>
                <w:lang w:val="en-US" w:eastAsia="zh-CN"/>
              </w:rPr>
              <w:t>②是否按计划开展宣传培训工作；</w:t>
            </w:r>
          </w:p>
          <w:p w14:paraId="32A80607">
            <w:pPr>
              <w:jc w:val="left"/>
              <w:rPr>
                <w:rFonts w:hint="eastAsia"/>
                <w:color w:val="auto"/>
                <w:szCs w:val="21"/>
                <w:lang w:val="en-US" w:eastAsia="zh-CN"/>
              </w:rPr>
            </w:pPr>
            <w:r>
              <w:rPr>
                <w:rFonts w:hint="eastAsia"/>
                <w:color w:val="auto"/>
                <w:szCs w:val="21"/>
                <w:lang w:val="en-US" w:eastAsia="zh-CN"/>
              </w:rPr>
              <w:t>③宣传培训的对象是否具有一定覆盖面；</w:t>
            </w:r>
          </w:p>
          <w:p w14:paraId="627BC061">
            <w:pPr>
              <w:jc w:val="left"/>
              <w:rPr>
                <w:rFonts w:hint="default"/>
                <w:color w:val="auto"/>
                <w:szCs w:val="21"/>
                <w:lang w:val="en-US" w:eastAsia="zh-CN"/>
              </w:rPr>
            </w:pPr>
            <w:r>
              <w:rPr>
                <w:rFonts w:hint="eastAsia"/>
                <w:color w:val="auto"/>
                <w:szCs w:val="21"/>
                <w:lang w:val="en-US" w:eastAsia="zh-CN"/>
              </w:rPr>
              <w:t>④活动场次不低于5场。</w:t>
            </w:r>
          </w:p>
        </w:tc>
        <w:tc>
          <w:tcPr>
            <w:tcW w:w="610" w:type="dxa"/>
            <w:tcBorders>
              <w:bottom w:val="single" w:color="auto" w:sz="4" w:space="0"/>
            </w:tcBorders>
            <w:vAlign w:val="center"/>
          </w:tcPr>
          <w:p w14:paraId="1C6B569F">
            <w:pPr>
              <w:jc w:val="center"/>
              <w:rPr>
                <w:rFonts w:hint="default" w:eastAsiaTheme="minorEastAsia"/>
                <w:color w:val="auto"/>
                <w:szCs w:val="21"/>
                <w:lang w:val="en-US" w:eastAsia="zh-CN"/>
              </w:rPr>
            </w:pPr>
            <w:r>
              <w:rPr>
                <w:rFonts w:hint="eastAsia"/>
                <w:color w:val="auto"/>
                <w:szCs w:val="21"/>
                <w:lang w:val="en-US" w:eastAsia="zh-CN"/>
              </w:rPr>
              <w:t>8</w:t>
            </w:r>
          </w:p>
        </w:tc>
        <w:tc>
          <w:tcPr>
            <w:tcW w:w="2712" w:type="dxa"/>
            <w:vAlign w:val="center"/>
          </w:tcPr>
          <w:p w14:paraId="55DE8DE4">
            <w:pPr>
              <w:jc w:val="both"/>
              <w:rPr>
                <w:rFonts w:hint="default" w:eastAsiaTheme="minorEastAsia"/>
                <w:color w:val="auto"/>
                <w:szCs w:val="21"/>
                <w:lang w:val="en-US" w:eastAsia="zh-CN"/>
              </w:rPr>
            </w:pPr>
            <w:r>
              <w:rPr>
                <w:rFonts w:hint="eastAsia" w:ascii="宋体" w:hAnsi="宋体" w:eastAsia="宋体" w:cs="宋体"/>
                <w:i w:val="0"/>
                <w:iCs w:val="0"/>
                <w:color w:val="auto"/>
                <w:kern w:val="0"/>
                <w:sz w:val="21"/>
                <w:szCs w:val="21"/>
                <w:u w:val="none"/>
                <w:lang w:val="en-US" w:eastAsia="zh-CN" w:bidi="ar"/>
              </w:rPr>
              <w:t>指标各占25%权重，每完成一个指标得分2分。</w:t>
            </w:r>
          </w:p>
        </w:tc>
        <w:tc>
          <w:tcPr>
            <w:tcW w:w="806" w:type="dxa"/>
            <w:vAlign w:val="center"/>
          </w:tcPr>
          <w:p w14:paraId="3E179AB0">
            <w:pPr>
              <w:jc w:val="center"/>
              <w:rPr>
                <w:rFonts w:hint="default" w:eastAsiaTheme="minorEastAsia"/>
                <w:color w:val="auto"/>
                <w:szCs w:val="21"/>
                <w:lang w:val="en-US" w:eastAsia="zh-CN"/>
              </w:rPr>
            </w:pPr>
            <w:r>
              <w:rPr>
                <w:rFonts w:hint="eastAsia"/>
                <w:color w:val="auto"/>
                <w:szCs w:val="21"/>
                <w:lang w:val="en-US" w:eastAsia="zh-CN"/>
              </w:rPr>
              <w:t>8</w:t>
            </w:r>
          </w:p>
        </w:tc>
      </w:tr>
      <w:tr w14:paraId="5C9B81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46" w:hRule="atLeast"/>
          <w:jc w:val="center"/>
        </w:trPr>
        <w:tc>
          <w:tcPr>
            <w:tcW w:w="792" w:type="dxa"/>
            <w:vMerge w:val="continue"/>
            <w:vAlign w:val="center"/>
          </w:tcPr>
          <w:p w14:paraId="6C81836D">
            <w:pPr>
              <w:jc w:val="center"/>
              <w:rPr>
                <w:szCs w:val="21"/>
              </w:rPr>
            </w:pPr>
          </w:p>
        </w:tc>
        <w:tc>
          <w:tcPr>
            <w:tcW w:w="750" w:type="dxa"/>
            <w:vMerge w:val="continue"/>
            <w:vAlign w:val="center"/>
          </w:tcPr>
          <w:p w14:paraId="172350CF">
            <w:pPr>
              <w:jc w:val="center"/>
              <w:rPr>
                <w:szCs w:val="21"/>
              </w:rPr>
            </w:pPr>
          </w:p>
        </w:tc>
        <w:tc>
          <w:tcPr>
            <w:tcW w:w="1065" w:type="dxa"/>
            <w:tcBorders>
              <w:top w:val="single" w:color="auto" w:sz="4" w:space="0"/>
              <w:bottom w:val="single" w:color="auto" w:sz="4" w:space="0"/>
            </w:tcBorders>
            <w:vAlign w:val="center"/>
          </w:tcPr>
          <w:p w14:paraId="2FC87149">
            <w:pPr>
              <w:jc w:val="center"/>
              <w:rPr>
                <w:rFonts w:hint="default" w:eastAsiaTheme="minorEastAsia"/>
                <w:color w:val="auto"/>
                <w:szCs w:val="21"/>
                <w:lang w:val="en-US" w:eastAsia="zh-CN"/>
              </w:rPr>
            </w:pPr>
            <w:r>
              <w:rPr>
                <w:rFonts w:hint="eastAsia"/>
                <w:color w:val="auto"/>
                <w:szCs w:val="21"/>
              </w:rPr>
              <w:t>提高绿色建材</w:t>
            </w:r>
            <w:r>
              <w:rPr>
                <w:rFonts w:hint="eastAsia"/>
                <w:color w:val="auto"/>
                <w:szCs w:val="21"/>
                <w:lang w:eastAsia="zh-CN"/>
              </w:rPr>
              <w:t>在</w:t>
            </w:r>
            <w:r>
              <w:rPr>
                <w:rFonts w:hint="eastAsia"/>
                <w:color w:val="auto"/>
                <w:szCs w:val="21"/>
                <w:lang w:val="en-US" w:eastAsia="zh-CN"/>
              </w:rPr>
              <w:t>建筑中应用占比</w:t>
            </w:r>
          </w:p>
        </w:tc>
        <w:tc>
          <w:tcPr>
            <w:tcW w:w="975" w:type="dxa"/>
            <w:tcBorders>
              <w:top w:val="single" w:color="auto" w:sz="4" w:space="0"/>
              <w:bottom w:val="single" w:color="auto" w:sz="4" w:space="0"/>
            </w:tcBorders>
            <w:vAlign w:val="center"/>
          </w:tcPr>
          <w:p w14:paraId="6D25914C">
            <w:pPr>
              <w:jc w:val="center"/>
              <w:rPr>
                <w:color w:val="auto"/>
                <w:szCs w:val="21"/>
              </w:rPr>
            </w:pPr>
            <w:r>
              <w:rPr>
                <w:color w:val="auto"/>
                <w:szCs w:val="21"/>
              </w:rPr>
              <w:t>较高</w:t>
            </w:r>
          </w:p>
        </w:tc>
        <w:tc>
          <w:tcPr>
            <w:tcW w:w="3698" w:type="dxa"/>
            <w:tcBorders>
              <w:top w:val="single" w:color="auto" w:sz="4" w:space="0"/>
              <w:bottom w:val="single" w:color="auto" w:sz="4" w:space="0"/>
            </w:tcBorders>
            <w:vAlign w:val="center"/>
          </w:tcPr>
          <w:p w14:paraId="054154E8">
            <w:pPr>
              <w:jc w:val="left"/>
              <w:rPr>
                <w:rFonts w:hint="default"/>
                <w:color w:val="auto"/>
                <w:szCs w:val="21"/>
                <w:lang w:val="en-US" w:eastAsia="zh-CN"/>
              </w:rPr>
            </w:pPr>
            <w:r>
              <w:rPr>
                <w:rFonts w:hint="eastAsia"/>
                <w:color w:val="auto"/>
                <w:szCs w:val="21"/>
                <w:lang w:val="en-US" w:eastAsia="zh-CN"/>
              </w:rPr>
              <w:t>①是否对项目开展现场服务，明确绿色建材使用要求；</w:t>
            </w:r>
          </w:p>
          <w:p w14:paraId="2D879EE5">
            <w:pPr>
              <w:jc w:val="both"/>
              <w:rPr>
                <w:rFonts w:hint="default"/>
                <w:color w:val="auto"/>
                <w:szCs w:val="21"/>
                <w:lang w:val="en-US" w:eastAsia="zh-CN"/>
              </w:rPr>
            </w:pPr>
            <w:r>
              <w:rPr>
                <w:rFonts w:hint="eastAsia"/>
                <w:color w:val="auto"/>
                <w:szCs w:val="21"/>
                <w:lang w:val="en-US" w:eastAsia="zh-CN"/>
              </w:rPr>
              <w:t>②是否对项目单位开展绿色建材应用比例计算技术细则、需求标准等技术标准进行详细讲解；</w:t>
            </w:r>
          </w:p>
          <w:p w14:paraId="6C38547B">
            <w:pPr>
              <w:jc w:val="both"/>
              <w:rPr>
                <w:color w:val="auto"/>
                <w:szCs w:val="21"/>
              </w:rPr>
            </w:pPr>
            <w:r>
              <w:rPr>
                <w:rFonts w:hint="eastAsia"/>
                <w:color w:val="auto"/>
                <w:szCs w:val="21"/>
                <w:lang w:val="en-US" w:eastAsia="zh-CN"/>
              </w:rPr>
              <w:t>③对项目使用的绿色建材依据相关标准开展核算，核算过程资料完整。</w:t>
            </w:r>
          </w:p>
        </w:tc>
        <w:tc>
          <w:tcPr>
            <w:tcW w:w="610" w:type="dxa"/>
            <w:tcBorders>
              <w:top w:val="single" w:color="auto" w:sz="4" w:space="0"/>
              <w:bottom w:val="single" w:color="auto" w:sz="4" w:space="0"/>
            </w:tcBorders>
            <w:vAlign w:val="center"/>
          </w:tcPr>
          <w:p w14:paraId="337D10D9">
            <w:pPr>
              <w:jc w:val="center"/>
              <w:rPr>
                <w:rFonts w:hint="default" w:eastAsiaTheme="minorEastAsia"/>
                <w:color w:val="auto"/>
                <w:szCs w:val="21"/>
                <w:lang w:val="en-US" w:eastAsia="zh-CN"/>
              </w:rPr>
            </w:pPr>
            <w:r>
              <w:rPr>
                <w:rFonts w:hint="eastAsia"/>
                <w:color w:val="auto"/>
                <w:szCs w:val="21"/>
                <w:lang w:val="en-US" w:eastAsia="zh-CN"/>
              </w:rPr>
              <w:t>6</w:t>
            </w:r>
          </w:p>
        </w:tc>
        <w:tc>
          <w:tcPr>
            <w:tcW w:w="2712" w:type="dxa"/>
            <w:tcBorders>
              <w:top w:val="single" w:color="auto" w:sz="4" w:space="0"/>
            </w:tcBorders>
            <w:vAlign w:val="center"/>
          </w:tcPr>
          <w:p w14:paraId="00C3327C">
            <w:pPr>
              <w:jc w:val="both"/>
              <w:rPr>
                <w:color w:val="auto"/>
                <w:szCs w:val="21"/>
              </w:rPr>
            </w:pPr>
            <w:r>
              <w:rPr>
                <w:rFonts w:hint="eastAsia" w:ascii="宋体" w:hAnsi="宋体" w:eastAsia="宋体" w:cs="宋体"/>
                <w:i w:val="0"/>
                <w:iCs w:val="0"/>
                <w:color w:val="auto"/>
                <w:kern w:val="0"/>
                <w:sz w:val="21"/>
                <w:szCs w:val="21"/>
                <w:u w:val="none"/>
                <w:lang w:val="en-US" w:eastAsia="zh-CN" w:bidi="ar"/>
              </w:rPr>
              <w:t>指标各占1/3权重，每完成一个指标得分2分。</w:t>
            </w:r>
          </w:p>
        </w:tc>
        <w:tc>
          <w:tcPr>
            <w:tcW w:w="806" w:type="dxa"/>
            <w:tcBorders>
              <w:top w:val="single" w:color="auto" w:sz="4" w:space="0"/>
            </w:tcBorders>
            <w:vAlign w:val="center"/>
          </w:tcPr>
          <w:p w14:paraId="1B9D7F49">
            <w:pPr>
              <w:jc w:val="center"/>
              <w:rPr>
                <w:rFonts w:hint="default" w:eastAsiaTheme="minorEastAsia"/>
                <w:color w:val="auto"/>
                <w:szCs w:val="21"/>
                <w:lang w:val="en-US" w:eastAsia="zh-CN"/>
              </w:rPr>
            </w:pPr>
            <w:r>
              <w:rPr>
                <w:rFonts w:hint="eastAsia"/>
                <w:color w:val="auto"/>
                <w:szCs w:val="21"/>
                <w:lang w:val="en-US" w:eastAsia="zh-CN"/>
              </w:rPr>
              <w:t>6</w:t>
            </w:r>
          </w:p>
        </w:tc>
      </w:tr>
      <w:tr w14:paraId="53BC6E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39" w:hRule="atLeast"/>
          <w:jc w:val="center"/>
        </w:trPr>
        <w:tc>
          <w:tcPr>
            <w:tcW w:w="792" w:type="dxa"/>
            <w:vMerge w:val="continue"/>
            <w:vAlign w:val="center"/>
          </w:tcPr>
          <w:p w14:paraId="7EF0ACA2">
            <w:pPr>
              <w:jc w:val="center"/>
              <w:rPr>
                <w:szCs w:val="21"/>
              </w:rPr>
            </w:pPr>
          </w:p>
        </w:tc>
        <w:tc>
          <w:tcPr>
            <w:tcW w:w="750" w:type="dxa"/>
            <w:vAlign w:val="center"/>
          </w:tcPr>
          <w:p w14:paraId="14273C34">
            <w:pPr>
              <w:jc w:val="center"/>
              <w:rPr>
                <w:color w:val="0000FF"/>
                <w:szCs w:val="21"/>
              </w:rPr>
            </w:pPr>
            <w:r>
              <w:rPr>
                <w:color w:val="auto"/>
                <w:szCs w:val="21"/>
              </w:rPr>
              <w:t>生态效益</w:t>
            </w:r>
          </w:p>
        </w:tc>
        <w:tc>
          <w:tcPr>
            <w:tcW w:w="1065" w:type="dxa"/>
            <w:vAlign w:val="center"/>
          </w:tcPr>
          <w:p w14:paraId="670E194F">
            <w:pPr>
              <w:jc w:val="center"/>
              <w:rPr>
                <w:rFonts w:hint="default" w:eastAsiaTheme="minorEastAsia"/>
                <w:color w:val="FF0000"/>
                <w:szCs w:val="21"/>
                <w:lang w:val="en-US" w:eastAsia="zh-CN"/>
              </w:rPr>
            </w:pPr>
            <w:r>
              <w:rPr>
                <w:rFonts w:hint="eastAsia"/>
                <w:color w:val="000000" w:themeColor="text1"/>
                <w:szCs w:val="21"/>
                <w:lang w:val="en-US" w:eastAsia="zh-CN"/>
                <w14:textFill>
                  <w14:solidFill>
                    <w14:schemeClr w14:val="tx1"/>
                  </w14:solidFill>
                </w14:textFill>
              </w:rPr>
              <w:t>降低碳排放</w:t>
            </w:r>
          </w:p>
        </w:tc>
        <w:tc>
          <w:tcPr>
            <w:tcW w:w="975" w:type="dxa"/>
            <w:vAlign w:val="center"/>
          </w:tcPr>
          <w:p w14:paraId="0296C58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较高</w:t>
            </w:r>
          </w:p>
        </w:tc>
        <w:tc>
          <w:tcPr>
            <w:tcW w:w="3698" w:type="dxa"/>
            <w:vAlign w:val="center"/>
          </w:tcPr>
          <w:p w14:paraId="27738782">
            <w:pPr>
              <w:jc w:val="both"/>
              <w:rPr>
                <w:rFonts w:hint="default"/>
                <w:szCs w:val="21"/>
                <w:lang w:val="en-US" w:eastAsia="zh-CN"/>
              </w:rPr>
            </w:pPr>
            <w:r>
              <w:rPr>
                <w:rFonts w:hint="eastAsia"/>
                <w:szCs w:val="21"/>
                <w:lang w:val="en-US" w:eastAsia="zh-CN"/>
              </w:rPr>
              <w:t>①是否明确项目在实施全过程开展碳排放管理；</w:t>
            </w:r>
          </w:p>
          <w:p w14:paraId="4893A40B">
            <w:pPr>
              <w:jc w:val="left"/>
              <w:rPr>
                <w:rFonts w:hint="default"/>
                <w:szCs w:val="21"/>
                <w:lang w:val="en-US" w:eastAsia="zh-CN"/>
              </w:rPr>
            </w:pPr>
            <w:r>
              <w:rPr>
                <w:rFonts w:hint="eastAsia"/>
                <w:szCs w:val="21"/>
                <w:lang w:val="en-US" w:eastAsia="zh-CN"/>
              </w:rPr>
              <w:t>②是否要求目标项目在竣工验收阶段开展碳排放测算；</w:t>
            </w:r>
          </w:p>
          <w:p w14:paraId="0389361A">
            <w:pPr>
              <w:jc w:val="left"/>
              <w:rPr>
                <w:color w:val="FF0000"/>
                <w:szCs w:val="21"/>
              </w:rPr>
            </w:pPr>
            <w:r>
              <w:rPr>
                <w:rFonts w:hint="eastAsia"/>
                <w:szCs w:val="21"/>
                <w:lang w:val="en-US" w:eastAsia="zh-CN"/>
              </w:rPr>
              <w:t>③项目是否建立了碳排放相关台账；</w:t>
            </w:r>
            <w:r>
              <w:rPr>
                <w:color w:val="FF0000"/>
                <w:szCs w:val="21"/>
              </w:rPr>
              <w:t xml:space="preserve"> </w:t>
            </w:r>
          </w:p>
          <w:p w14:paraId="2B5D59E0">
            <w:pPr>
              <w:jc w:val="left"/>
              <w:rPr>
                <w:color w:val="FF0000"/>
                <w:szCs w:val="21"/>
              </w:rPr>
            </w:pPr>
            <w:r>
              <w:rPr>
                <w:rFonts w:hint="eastAsia"/>
                <w:szCs w:val="21"/>
                <w:lang w:val="en-US" w:eastAsia="zh-CN"/>
              </w:rPr>
              <w:t>④</w:t>
            </w:r>
            <w:r>
              <w:rPr>
                <w:rFonts w:hint="eastAsia" w:ascii="宋体" w:hAnsi="宋体" w:eastAsia="宋体" w:cs="宋体"/>
                <w:i w:val="0"/>
                <w:iCs w:val="0"/>
                <w:color w:val="auto"/>
                <w:kern w:val="0"/>
                <w:sz w:val="21"/>
                <w:szCs w:val="21"/>
                <w:u w:val="none"/>
                <w:lang w:val="en-US" w:eastAsia="zh-CN" w:bidi="ar"/>
              </w:rPr>
              <w:t>是否采用规范方法核算碳排放量，并实现可验证的减排效果。</w:t>
            </w:r>
            <w:r>
              <w:rPr>
                <w:color w:val="FF0000"/>
                <w:szCs w:val="21"/>
              </w:rPr>
              <w:t xml:space="preserve">             </w:t>
            </w:r>
          </w:p>
        </w:tc>
        <w:tc>
          <w:tcPr>
            <w:tcW w:w="610" w:type="dxa"/>
            <w:vAlign w:val="center"/>
          </w:tcPr>
          <w:p w14:paraId="04D8AD2D">
            <w:pPr>
              <w:jc w:val="center"/>
              <w:rPr>
                <w:rFonts w:hint="default" w:eastAsiaTheme="minorEastAsia"/>
                <w:color w:val="FF0000"/>
                <w:szCs w:val="21"/>
                <w:lang w:val="en-US" w:eastAsia="zh-CN"/>
              </w:rPr>
            </w:pPr>
            <w:r>
              <w:rPr>
                <w:rFonts w:hint="eastAsia"/>
                <w:color w:val="auto"/>
                <w:szCs w:val="21"/>
                <w:lang w:val="en-US" w:eastAsia="zh-CN"/>
              </w:rPr>
              <w:t>8</w:t>
            </w:r>
          </w:p>
        </w:tc>
        <w:tc>
          <w:tcPr>
            <w:tcW w:w="2712" w:type="dxa"/>
            <w:vAlign w:val="center"/>
          </w:tcPr>
          <w:p w14:paraId="48CA91E8">
            <w:pPr>
              <w:jc w:val="both"/>
              <w:rPr>
                <w:color w:val="FF0000"/>
                <w:szCs w:val="21"/>
              </w:rPr>
            </w:pPr>
            <w:r>
              <w:rPr>
                <w:rFonts w:hint="eastAsia" w:ascii="宋体" w:hAnsi="宋体" w:eastAsia="宋体" w:cs="宋体"/>
                <w:i w:val="0"/>
                <w:iCs w:val="0"/>
                <w:color w:val="000000"/>
                <w:kern w:val="0"/>
                <w:sz w:val="21"/>
                <w:szCs w:val="21"/>
                <w:u w:val="none"/>
                <w:lang w:val="en-US" w:eastAsia="zh-CN" w:bidi="ar"/>
              </w:rPr>
              <w:t>指标各占25%权重，每完成一个指标得分2分。</w:t>
            </w:r>
          </w:p>
        </w:tc>
        <w:tc>
          <w:tcPr>
            <w:tcW w:w="806" w:type="dxa"/>
            <w:vAlign w:val="center"/>
          </w:tcPr>
          <w:p w14:paraId="0C6D0291">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w:t>
            </w:r>
          </w:p>
        </w:tc>
      </w:tr>
      <w:tr w14:paraId="232782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39" w:hRule="atLeast"/>
          <w:jc w:val="center"/>
        </w:trPr>
        <w:tc>
          <w:tcPr>
            <w:tcW w:w="792" w:type="dxa"/>
            <w:vMerge w:val="continue"/>
            <w:tcBorders>
              <w:bottom w:val="single" w:color="auto" w:sz="4" w:space="0"/>
            </w:tcBorders>
            <w:vAlign w:val="center"/>
          </w:tcPr>
          <w:p w14:paraId="609D56F7">
            <w:pPr>
              <w:jc w:val="center"/>
              <w:rPr>
                <w:color w:val="auto"/>
                <w:szCs w:val="21"/>
              </w:rPr>
            </w:pPr>
          </w:p>
        </w:tc>
        <w:tc>
          <w:tcPr>
            <w:tcW w:w="750" w:type="dxa"/>
            <w:tcBorders>
              <w:bottom w:val="single" w:color="auto" w:sz="4" w:space="0"/>
            </w:tcBorders>
            <w:vAlign w:val="center"/>
          </w:tcPr>
          <w:p w14:paraId="41BCE754">
            <w:pPr>
              <w:jc w:val="center"/>
              <w:rPr>
                <w:rFonts w:hint="eastAsia" w:eastAsiaTheme="minorEastAsia"/>
                <w:color w:val="auto"/>
                <w:szCs w:val="21"/>
                <w:lang w:val="en-US" w:eastAsia="zh-CN"/>
              </w:rPr>
            </w:pPr>
            <w:r>
              <w:rPr>
                <w:rFonts w:hint="eastAsia"/>
                <w:color w:val="auto"/>
                <w:szCs w:val="21"/>
                <w:lang w:val="en-US" w:eastAsia="zh-CN"/>
              </w:rPr>
              <w:t>可持续影响</w:t>
            </w:r>
          </w:p>
        </w:tc>
        <w:tc>
          <w:tcPr>
            <w:tcW w:w="1065" w:type="dxa"/>
            <w:vAlign w:val="center"/>
          </w:tcPr>
          <w:p w14:paraId="57929820">
            <w:pPr>
              <w:jc w:val="center"/>
              <w:rPr>
                <w:color w:val="auto"/>
                <w:szCs w:val="21"/>
              </w:rPr>
            </w:pPr>
            <w:r>
              <w:rPr>
                <w:rFonts w:hint="eastAsia"/>
                <w:color w:val="000000" w:themeColor="text1"/>
                <w:szCs w:val="21"/>
                <w14:textFill>
                  <w14:solidFill>
                    <w14:schemeClr w14:val="tx1"/>
                  </w14:solidFill>
                </w14:textFill>
              </w:rPr>
              <w:t>促进绿色建材发展，助推建筑品质提升</w:t>
            </w:r>
          </w:p>
        </w:tc>
        <w:tc>
          <w:tcPr>
            <w:tcW w:w="975" w:type="dxa"/>
            <w:vAlign w:val="center"/>
          </w:tcPr>
          <w:p w14:paraId="7FD16E6C">
            <w:pPr>
              <w:jc w:val="center"/>
              <w:rPr>
                <w:color w:val="auto"/>
                <w:szCs w:val="21"/>
              </w:rPr>
            </w:pPr>
            <w:r>
              <w:rPr>
                <w:rFonts w:hint="eastAsia"/>
                <w:color w:val="auto"/>
                <w:szCs w:val="21"/>
              </w:rPr>
              <w:t>较高</w:t>
            </w:r>
          </w:p>
        </w:tc>
        <w:tc>
          <w:tcPr>
            <w:tcW w:w="3698" w:type="dxa"/>
            <w:vAlign w:val="center"/>
          </w:tcPr>
          <w:p w14:paraId="15290FB1">
            <w:pPr>
              <w:jc w:val="both"/>
              <w:rPr>
                <w:rFonts w:hint="default"/>
                <w:color w:val="auto"/>
                <w:szCs w:val="21"/>
                <w:lang w:val="en-US" w:eastAsia="zh-CN"/>
              </w:rPr>
            </w:pPr>
            <w:r>
              <w:rPr>
                <w:rFonts w:hint="eastAsia"/>
                <w:color w:val="auto"/>
                <w:szCs w:val="21"/>
                <w:lang w:val="en-US" w:eastAsia="zh-CN"/>
              </w:rPr>
              <w:t>①是否开展了绿色建材发展及对绿色建筑促进作用的长效机制相关研究；</w:t>
            </w:r>
          </w:p>
          <w:p w14:paraId="07177D5C">
            <w:pPr>
              <w:jc w:val="left"/>
              <w:rPr>
                <w:rFonts w:hint="default"/>
                <w:color w:val="auto"/>
                <w:szCs w:val="21"/>
                <w:lang w:val="en-US" w:eastAsia="zh-CN"/>
              </w:rPr>
            </w:pPr>
            <w:r>
              <w:rPr>
                <w:rFonts w:hint="eastAsia"/>
                <w:color w:val="auto"/>
                <w:szCs w:val="21"/>
                <w:lang w:val="en-US" w:eastAsia="zh-CN"/>
              </w:rPr>
              <w:t>②</w:t>
            </w:r>
            <w:r>
              <w:rPr>
                <w:rFonts w:hint="eastAsia" w:ascii="宋体" w:hAnsi="宋体" w:eastAsia="宋体" w:cs="宋体"/>
                <w:i w:val="0"/>
                <w:iCs w:val="0"/>
                <w:color w:val="auto"/>
                <w:kern w:val="0"/>
                <w:sz w:val="21"/>
                <w:szCs w:val="21"/>
                <w:u w:val="none"/>
                <w:lang w:val="en-US" w:eastAsia="zh-CN" w:bidi="ar"/>
              </w:rPr>
              <w:t>是否构建了包含政策引导、市场激励、技术支撑等要素的绿色建材长效推广机制</w:t>
            </w:r>
            <w:r>
              <w:rPr>
                <w:rFonts w:hint="eastAsia"/>
                <w:color w:val="auto"/>
                <w:szCs w:val="21"/>
                <w:lang w:val="en-US" w:eastAsia="zh-CN"/>
              </w:rPr>
              <w:t>；</w:t>
            </w:r>
          </w:p>
          <w:p w14:paraId="4EF507F6">
            <w:pPr>
              <w:jc w:val="left"/>
              <w:rPr>
                <w:rFonts w:hint="default"/>
                <w:color w:val="auto"/>
                <w:szCs w:val="21"/>
                <w:lang w:val="en-US"/>
              </w:rPr>
            </w:pPr>
            <w:r>
              <w:rPr>
                <w:rFonts w:hint="eastAsia"/>
                <w:color w:val="auto"/>
                <w:szCs w:val="21"/>
                <w:lang w:val="en-US" w:eastAsia="zh-CN"/>
              </w:rPr>
              <w:t>③是否明确了绿色建筑中绿色建材应用比例；</w:t>
            </w:r>
          </w:p>
          <w:p w14:paraId="069A30CE">
            <w:pPr>
              <w:jc w:val="left"/>
              <w:rPr>
                <w:rFonts w:hint="default"/>
                <w:color w:val="auto"/>
                <w:szCs w:val="21"/>
                <w:lang w:val="en-US"/>
              </w:rPr>
            </w:pPr>
            <w:r>
              <w:rPr>
                <w:rFonts w:hint="eastAsia"/>
                <w:color w:val="000000" w:themeColor="text1"/>
                <w:szCs w:val="21"/>
                <w:lang w:val="en-US" w:eastAsia="zh-CN"/>
                <w14:textFill>
                  <w14:solidFill>
                    <w14:schemeClr w14:val="tx1"/>
                  </w14:solidFill>
                </w14:textFill>
              </w:rPr>
              <w:t>④是否明确政策实施范围内项目采用绿色建材产品。</w:t>
            </w:r>
          </w:p>
        </w:tc>
        <w:tc>
          <w:tcPr>
            <w:tcW w:w="610" w:type="dxa"/>
            <w:vAlign w:val="center"/>
          </w:tcPr>
          <w:p w14:paraId="4BF18574">
            <w:pPr>
              <w:jc w:val="center"/>
              <w:rPr>
                <w:rFonts w:hint="default" w:eastAsiaTheme="minorEastAsia"/>
                <w:color w:val="0000FF"/>
                <w:szCs w:val="21"/>
                <w:lang w:val="en-US" w:eastAsia="zh-CN"/>
              </w:rPr>
            </w:pPr>
            <w:r>
              <w:rPr>
                <w:rFonts w:hint="eastAsia"/>
                <w:color w:val="auto"/>
                <w:szCs w:val="21"/>
                <w:lang w:val="en-US" w:eastAsia="zh-CN"/>
              </w:rPr>
              <w:t>8</w:t>
            </w:r>
          </w:p>
        </w:tc>
        <w:tc>
          <w:tcPr>
            <w:tcW w:w="2712" w:type="dxa"/>
            <w:vAlign w:val="center"/>
          </w:tcPr>
          <w:p w14:paraId="38900E64">
            <w:pPr>
              <w:jc w:val="left"/>
              <w:rPr>
                <w:rFonts w:hint="default"/>
                <w:color w:val="0000FF"/>
                <w:szCs w:val="21"/>
                <w:lang w:val="en-US" w:eastAsia="zh-CN"/>
              </w:rPr>
            </w:pPr>
            <w:r>
              <w:rPr>
                <w:rFonts w:hint="eastAsia" w:ascii="宋体" w:hAnsi="宋体" w:eastAsia="宋体" w:cs="宋体"/>
                <w:i w:val="0"/>
                <w:iCs w:val="0"/>
                <w:color w:val="000000"/>
                <w:kern w:val="0"/>
                <w:sz w:val="21"/>
                <w:szCs w:val="21"/>
                <w:u w:val="none"/>
                <w:lang w:val="en-US" w:eastAsia="zh-CN" w:bidi="ar"/>
              </w:rPr>
              <w:t>指标各占25%权重，每完成一个指标得分2分。</w:t>
            </w:r>
          </w:p>
        </w:tc>
        <w:tc>
          <w:tcPr>
            <w:tcW w:w="806" w:type="dxa"/>
            <w:vAlign w:val="center"/>
          </w:tcPr>
          <w:p w14:paraId="162BD41E">
            <w:pPr>
              <w:jc w:val="center"/>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w:t>
            </w:r>
          </w:p>
        </w:tc>
      </w:tr>
      <w:tr w14:paraId="5674E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30" w:hRule="atLeast"/>
          <w:jc w:val="center"/>
        </w:trPr>
        <w:tc>
          <w:tcPr>
            <w:tcW w:w="792" w:type="dxa"/>
            <w:tcBorders>
              <w:top w:val="single" w:color="auto" w:sz="4" w:space="0"/>
              <w:bottom w:val="single" w:color="auto" w:sz="4" w:space="0"/>
            </w:tcBorders>
            <w:vAlign w:val="center"/>
          </w:tcPr>
          <w:p w14:paraId="7D24FAF6">
            <w:pPr>
              <w:jc w:val="center"/>
              <w:rPr>
                <w:color w:val="auto"/>
                <w:szCs w:val="21"/>
              </w:rPr>
            </w:pPr>
            <w:r>
              <w:rPr>
                <w:color w:val="auto"/>
                <w:szCs w:val="21"/>
              </w:rPr>
              <w:t>满意度</w:t>
            </w:r>
          </w:p>
          <w:p w14:paraId="201BF3A6">
            <w:pPr>
              <w:jc w:val="center"/>
              <w:rPr>
                <w:color w:val="auto"/>
                <w:szCs w:val="21"/>
              </w:rPr>
            </w:pPr>
            <w:r>
              <w:rPr>
                <w:color w:val="auto"/>
                <w:szCs w:val="21"/>
              </w:rPr>
              <w:t>指标</w:t>
            </w:r>
          </w:p>
          <w:p w14:paraId="475BF232">
            <w:pPr>
              <w:jc w:val="center"/>
              <w:rPr>
                <w:color w:val="auto"/>
                <w:szCs w:val="21"/>
              </w:rPr>
            </w:pPr>
            <w:r>
              <w:rPr>
                <w:color w:val="auto"/>
                <w:szCs w:val="21"/>
              </w:rPr>
              <w:t>（</w:t>
            </w:r>
            <w:r>
              <w:rPr>
                <w:rFonts w:hint="eastAsia"/>
                <w:color w:val="auto"/>
                <w:szCs w:val="21"/>
              </w:rPr>
              <w:t>10</w:t>
            </w:r>
            <w:r>
              <w:rPr>
                <w:color w:val="auto"/>
                <w:szCs w:val="21"/>
              </w:rPr>
              <w:t>分）</w:t>
            </w:r>
          </w:p>
        </w:tc>
        <w:tc>
          <w:tcPr>
            <w:tcW w:w="750" w:type="dxa"/>
            <w:tcBorders>
              <w:top w:val="single" w:color="auto" w:sz="4" w:space="0"/>
              <w:bottom w:val="single" w:color="auto" w:sz="4" w:space="0"/>
            </w:tcBorders>
            <w:vAlign w:val="center"/>
          </w:tcPr>
          <w:p w14:paraId="3409049E">
            <w:pPr>
              <w:jc w:val="center"/>
              <w:rPr>
                <w:color w:val="auto"/>
                <w:szCs w:val="21"/>
              </w:rPr>
            </w:pPr>
            <w:r>
              <w:rPr>
                <w:rFonts w:hint="eastAsia"/>
                <w:color w:val="auto"/>
                <w:szCs w:val="21"/>
                <w:lang w:val="en-US" w:eastAsia="zh-CN"/>
              </w:rPr>
              <w:t>服务对象</w:t>
            </w:r>
            <w:r>
              <w:rPr>
                <w:color w:val="auto"/>
                <w:szCs w:val="21"/>
              </w:rPr>
              <w:t>满意度</w:t>
            </w:r>
          </w:p>
        </w:tc>
        <w:tc>
          <w:tcPr>
            <w:tcW w:w="1065" w:type="dxa"/>
            <w:vAlign w:val="center"/>
          </w:tcPr>
          <w:p w14:paraId="3382883F">
            <w:pPr>
              <w:jc w:val="center"/>
              <w:rPr>
                <w:color w:val="auto"/>
                <w:szCs w:val="21"/>
              </w:rPr>
            </w:pPr>
            <w:r>
              <w:rPr>
                <w:rFonts w:hint="eastAsia"/>
                <w:color w:val="auto"/>
                <w:szCs w:val="21"/>
                <w:lang w:val="en-US" w:eastAsia="zh-CN"/>
              </w:rPr>
              <w:t>受众</w:t>
            </w:r>
            <w:r>
              <w:rPr>
                <w:rFonts w:hint="eastAsia"/>
                <w:color w:val="auto"/>
                <w:szCs w:val="21"/>
              </w:rPr>
              <w:t>满意度</w:t>
            </w:r>
          </w:p>
        </w:tc>
        <w:tc>
          <w:tcPr>
            <w:tcW w:w="975" w:type="dxa"/>
            <w:vAlign w:val="center"/>
          </w:tcPr>
          <w:p w14:paraId="77A5B888">
            <w:pPr>
              <w:jc w:val="center"/>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100%</w:t>
            </w:r>
          </w:p>
        </w:tc>
        <w:tc>
          <w:tcPr>
            <w:tcW w:w="3698" w:type="dxa"/>
            <w:vAlign w:val="center"/>
          </w:tcPr>
          <w:p w14:paraId="13CA91E0">
            <w:pPr>
              <w:jc w:val="left"/>
              <w:rPr>
                <w:color w:val="auto"/>
                <w:szCs w:val="21"/>
              </w:rPr>
            </w:pPr>
            <w:r>
              <w:rPr>
                <w:rFonts w:hint="eastAsia"/>
                <w:color w:val="auto"/>
                <w:szCs w:val="21"/>
              </w:rPr>
              <w:t>有无群众投诉</w:t>
            </w:r>
          </w:p>
        </w:tc>
        <w:tc>
          <w:tcPr>
            <w:tcW w:w="610" w:type="dxa"/>
            <w:vAlign w:val="center"/>
          </w:tcPr>
          <w:p w14:paraId="419804D5">
            <w:pPr>
              <w:jc w:val="center"/>
              <w:rPr>
                <w:color w:val="auto"/>
                <w:szCs w:val="21"/>
              </w:rPr>
            </w:pPr>
            <w:r>
              <w:rPr>
                <w:rFonts w:hint="eastAsia"/>
                <w:color w:val="auto"/>
                <w:szCs w:val="21"/>
              </w:rPr>
              <w:t>10</w:t>
            </w:r>
          </w:p>
        </w:tc>
        <w:tc>
          <w:tcPr>
            <w:tcW w:w="2712" w:type="dxa"/>
            <w:vAlign w:val="center"/>
          </w:tcPr>
          <w:p w14:paraId="3988C327">
            <w:pPr>
              <w:jc w:val="both"/>
              <w:rPr>
                <w:rFonts w:hint="default" w:eastAsiaTheme="minorEastAsia"/>
                <w:color w:val="auto"/>
                <w:szCs w:val="21"/>
                <w:lang w:val="en-US" w:eastAsia="zh-CN"/>
              </w:rPr>
            </w:pPr>
            <w:r>
              <w:rPr>
                <w:rFonts w:hint="eastAsia"/>
                <w:color w:val="auto"/>
                <w:szCs w:val="21"/>
                <w:lang w:val="en-US" w:eastAsia="zh-CN"/>
              </w:rPr>
              <w:t>每接收一条群众投诉</w:t>
            </w:r>
            <w:r>
              <w:rPr>
                <w:rFonts w:hint="eastAsia" w:ascii="微软雅黑" w:hAnsi="微软雅黑" w:eastAsia="微软雅黑" w:cs="微软雅黑"/>
                <w:color w:val="auto"/>
                <w:szCs w:val="21"/>
                <w:lang w:val="en-US" w:eastAsia="zh-CN"/>
              </w:rPr>
              <w:t>-</w:t>
            </w:r>
            <w:r>
              <w:rPr>
                <w:rFonts w:hint="eastAsia"/>
                <w:color w:val="auto"/>
                <w:szCs w:val="21"/>
                <w:lang w:val="en-US" w:eastAsia="zh-CN"/>
              </w:rPr>
              <w:t>2分，扣完为止。</w:t>
            </w:r>
          </w:p>
        </w:tc>
        <w:tc>
          <w:tcPr>
            <w:tcW w:w="806" w:type="dxa"/>
            <w:vAlign w:val="center"/>
          </w:tcPr>
          <w:p w14:paraId="241D9452">
            <w:pPr>
              <w:jc w:val="center"/>
              <w:rPr>
                <w:rFonts w:hint="default" w:eastAsiaTheme="minorEastAsia"/>
                <w:color w:val="auto"/>
                <w:szCs w:val="21"/>
                <w:lang w:val="en-US" w:eastAsia="zh-CN"/>
              </w:rPr>
            </w:pPr>
            <w:r>
              <w:rPr>
                <w:rFonts w:hint="eastAsia"/>
                <w:color w:val="auto"/>
                <w:szCs w:val="21"/>
                <w:lang w:val="en-US" w:eastAsia="zh-CN"/>
              </w:rPr>
              <w:t>10</w:t>
            </w:r>
          </w:p>
        </w:tc>
      </w:tr>
      <w:tr w14:paraId="0C755C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jc w:val="center"/>
        </w:trPr>
        <w:tc>
          <w:tcPr>
            <w:tcW w:w="792" w:type="dxa"/>
            <w:tcBorders>
              <w:top w:val="single" w:color="auto" w:sz="4" w:space="0"/>
            </w:tcBorders>
            <w:vAlign w:val="center"/>
          </w:tcPr>
          <w:p w14:paraId="0C8696B9">
            <w:pPr>
              <w:jc w:val="center"/>
              <w:rPr>
                <w:szCs w:val="21"/>
              </w:rPr>
            </w:pPr>
          </w:p>
        </w:tc>
        <w:tc>
          <w:tcPr>
            <w:tcW w:w="750" w:type="dxa"/>
            <w:tcBorders>
              <w:top w:val="single" w:color="auto" w:sz="4" w:space="0"/>
            </w:tcBorders>
            <w:vAlign w:val="center"/>
          </w:tcPr>
          <w:p w14:paraId="5B5D7F19">
            <w:pPr>
              <w:jc w:val="center"/>
              <w:rPr>
                <w:rFonts w:hint="eastAsia"/>
                <w:szCs w:val="21"/>
                <w:lang w:val="en-US" w:eastAsia="zh-CN"/>
              </w:rPr>
            </w:pPr>
          </w:p>
        </w:tc>
        <w:tc>
          <w:tcPr>
            <w:tcW w:w="1065" w:type="dxa"/>
            <w:vAlign w:val="center"/>
          </w:tcPr>
          <w:p w14:paraId="2ADF0A35">
            <w:pPr>
              <w:jc w:val="center"/>
              <w:rPr>
                <w:rFonts w:hint="eastAsia"/>
                <w:szCs w:val="21"/>
                <w:lang w:val="en-US" w:eastAsia="zh-CN"/>
              </w:rPr>
            </w:pPr>
          </w:p>
        </w:tc>
        <w:tc>
          <w:tcPr>
            <w:tcW w:w="975" w:type="dxa"/>
            <w:vAlign w:val="center"/>
          </w:tcPr>
          <w:p w14:paraId="6FC44E1D">
            <w:pPr>
              <w:jc w:val="center"/>
              <w:rPr>
                <w:rFonts w:hint="eastAsia" w:ascii="宋体" w:hAnsi="宋体" w:eastAsia="宋体" w:cs="宋体"/>
                <w:szCs w:val="21"/>
              </w:rPr>
            </w:pPr>
          </w:p>
        </w:tc>
        <w:tc>
          <w:tcPr>
            <w:tcW w:w="3698" w:type="dxa"/>
            <w:vAlign w:val="center"/>
          </w:tcPr>
          <w:p w14:paraId="79AEADAC">
            <w:pPr>
              <w:jc w:val="left"/>
              <w:rPr>
                <w:rFonts w:hint="eastAsia"/>
                <w:szCs w:val="21"/>
              </w:rPr>
            </w:pPr>
          </w:p>
        </w:tc>
        <w:tc>
          <w:tcPr>
            <w:tcW w:w="610" w:type="dxa"/>
            <w:vAlign w:val="center"/>
          </w:tcPr>
          <w:p w14:paraId="336066E9">
            <w:pPr>
              <w:jc w:val="center"/>
              <w:rPr>
                <w:rFonts w:hint="default" w:eastAsiaTheme="minorEastAsia"/>
                <w:szCs w:val="21"/>
                <w:lang w:val="en-US" w:eastAsia="zh-CN"/>
              </w:rPr>
            </w:pPr>
            <w:r>
              <w:rPr>
                <w:rFonts w:hint="eastAsia"/>
                <w:szCs w:val="21"/>
                <w:lang w:val="en-US" w:eastAsia="zh-CN"/>
              </w:rPr>
              <w:t>100</w:t>
            </w:r>
          </w:p>
        </w:tc>
        <w:tc>
          <w:tcPr>
            <w:tcW w:w="2712" w:type="dxa"/>
            <w:vAlign w:val="center"/>
          </w:tcPr>
          <w:p w14:paraId="20B50500">
            <w:pPr>
              <w:jc w:val="both"/>
              <w:rPr>
                <w:rFonts w:hint="eastAsia"/>
                <w:color w:val="000000" w:themeColor="text1"/>
                <w:szCs w:val="21"/>
                <w:lang w:val="en-US" w:eastAsia="zh-CN"/>
                <w14:textFill>
                  <w14:solidFill>
                    <w14:schemeClr w14:val="tx1"/>
                  </w14:solidFill>
                </w14:textFill>
              </w:rPr>
            </w:pPr>
          </w:p>
        </w:tc>
        <w:tc>
          <w:tcPr>
            <w:tcW w:w="806" w:type="dxa"/>
            <w:vAlign w:val="center"/>
          </w:tcPr>
          <w:p w14:paraId="3D042087">
            <w:pPr>
              <w:jc w:val="center"/>
              <w:rPr>
                <w:rFonts w:hint="default"/>
                <w:color w:val="000000" w:themeColor="text1"/>
                <w:szCs w:val="21"/>
                <w:lang w:val="en-US" w:eastAsia="zh-CN"/>
                <w14:textFill>
                  <w14:solidFill>
                    <w14:schemeClr w14:val="tx1"/>
                  </w14:solidFill>
                </w14:textFill>
              </w:rPr>
            </w:pPr>
            <w:r>
              <w:rPr>
                <w:rFonts w:hint="eastAsia"/>
                <w:color w:val="auto"/>
                <w:szCs w:val="21"/>
                <w:lang w:val="en-US" w:eastAsia="zh-CN"/>
              </w:rPr>
              <w:t>95.55</w:t>
            </w:r>
          </w:p>
        </w:tc>
      </w:tr>
    </w:tbl>
    <w:p w14:paraId="01B6C77B">
      <w:pPr>
        <w:widowControl/>
        <w:jc w:val="left"/>
        <w:rPr>
          <w:rFonts w:ascii="仿宋" w:hAnsi="仿宋" w:eastAsia="仿宋" w:cs="仿宋"/>
          <w:color w:val="000000"/>
          <w:kern w:val="0"/>
          <w:sz w:val="32"/>
          <w:szCs w:val="32"/>
        </w:rPr>
      </w:pPr>
    </w:p>
    <w:p w14:paraId="071991F2">
      <w:pPr>
        <w:widowControl/>
        <w:jc w:val="left"/>
        <w:rPr>
          <w:rFonts w:hint="eastAsia" w:ascii="仿宋" w:hAnsi="仿宋" w:eastAsia="仿宋" w:cs="仿宋"/>
          <w:color w:val="000000"/>
          <w:kern w:val="0"/>
          <w:sz w:val="32"/>
          <w:szCs w:val="32"/>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6C71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37611">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7962F3">
                          <w:pPr>
                            <w:pStyle w:val="6"/>
                          </w:pPr>
                          <w:r>
                            <w:t xml:space="preserve">第 </w:t>
                          </w:r>
                          <w:r>
                            <w:fldChar w:fldCharType="begin"/>
                          </w:r>
                          <w:r>
                            <w:instrText xml:space="preserve"> PAGE  \* MERGEFORMAT </w:instrText>
                          </w:r>
                          <w:r>
                            <w:fldChar w:fldCharType="separate"/>
                          </w:r>
                          <w:r>
                            <w:t>5</w:t>
                          </w:r>
                          <w:r>
                            <w:fldChar w:fldCharType="end"/>
                          </w:r>
                          <w:r>
                            <w:t xml:space="preserve"> 页 共 </w:t>
                          </w:r>
                          <w:r>
                            <w:rPr>
                              <w:rFonts w:hint="eastAsia"/>
                              <w:lang w:val="en-US" w:eastAsia="zh-CN"/>
                            </w:rPr>
                            <w:t>13</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4C7962F3">
                    <w:pPr>
                      <w:pStyle w:val="6"/>
                    </w:pPr>
                    <w:r>
                      <w:t xml:space="preserve">第 </w:t>
                    </w:r>
                    <w:r>
                      <w:fldChar w:fldCharType="begin"/>
                    </w:r>
                    <w:r>
                      <w:instrText xml:space="preserve"> PAGE  \* MERGEFORMAT </w:instrText>
                    </w:r>
                    <w:r>
                      <w:fldChar w:fldCharType="separate"/>
                    </w:r>
                    <w:r>
                      <w:t>5</w:t>
                    </w:r>
                    <w:r>
                      <w:fldChar w:fldCharType="end"/>
                    </w:r>
                    <w:r>
                      <w:t xml:space="preserve"> 页 共 </w:t>
                    </w:r>
                    <w:r>
                      <w:rPr>
                        <w:rFonts w:hint="eastAsia"/>
                        <w:lang w:val="en-US" w:eastAsia="zh-CN"/>
                      </w:rPr>
                      <w:t>13</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YTNhN2U2ZWM2MTdmMmUwZThlM2MyY2I1NjIwMDQifQ=="/>
  </w:docVars>
  <w:rsids>
    <w:rsidRoot w:val="14181419"/>
    <w:rsid w:val="0000168F"/>
    <w:rsid w:val="000151A5"/>
    <w:rsid w:val="00064BA0"/>
    <w:rsid w:val="000766CD"/>
    <w:rsid w:val="00095145"/>
    <w:rsid w:val="00096640"/>
    <w:rsid w:val="000D6FCE"/>
    <w:rsid w:val="000E348B"/>
    <w:rsid w:val="000E734D"/>
    <w:rsid w:val="00120339"/>
    <w:rsid w:val="00143687"/>
    <w:rsid w:val="00143B36"/>
    <w:rsid w:val="00144BA7"/>
    <w:rsid w:val="00146692"/>
    <w:rsid w:val="00152B31"/>
    <w:rsid w:val="001530CF"/>
    <w:rsid w:val="00154778"/>
    <w:rsid w:val="00156ED5"/>
    <w:rsid w:val="001B65DA"/>
    <w:rsid w:val="001B759B"/>
    <w:rsid w:val="001E1245"/>
    <w:rsid w:val="001E1ADD"/>
    <w:rsid w:val="001E4A83"/>
    <w:rsid w:val="001F140F"/>
    <w:rsid w:val="00201D22"/>
    <w:rsid w:val="00206AC3"/>
    <w:rsid w:val="00212245"/>
    <w:rsid w:val="0024687E"/>
    <w:rsid w:val="00246A05"/>
    <w:rsid w:val="00267B0C"/>
    <w:rsid w:val="00276D5E"/>
    <w:rsid w:val="002B4473"/>
    <w:rsid w:val="002E2231"/>
    <w:rsid w:val="002E28AA"/>
    <w:rsid w:val="002F2C8F"/>
    <w:rsid w:val="002F33A3"/>
    <w:rsid w:val="00300F01"/>
    <w:rsid w:val="0032148A"/>
    <w:rsid w:val="003713C4"/>
    <w:rsid w:val="00380299"/>
    <w:rsid w:val="00390616"/>
    <w:rsid w:val="00393EE2"/>
    <w:rsid w:val="003979A0"/>
    <w:rsid w:val="003A588A"/>
    <w:rsid w:val="003F2B5E"/>
    <w:rsid w:val="003F637B"/>
    <w:rsid w:val="0041299F"/>
    <w:rsid w:val="00457F0D"/>
    <w:rsid w:val="00492F8F"/>
    <w:rsid w:val="004B64AE"/>
    <w:rsid w:val="004C2900"/>
    <w:rsid w:val="004C3C75"/>
    <w:rsid w:val="004C46FC"/>
    <w:rsid w:val="00504960"/>
    <w:rsid w:val="00511A3E"/>
    <w:rsid w:val="005138A8"/>
    <w:rsid w:val="00516F05"/>
    <w:rsid w:val="00524D01"/>
    <w:rsid w:val="00552E0B"/>
    <w:rsid w:val="0056228F"/>
    <w:rsid w:val="0059073F"/>
    <w:rsid w:val="005972F3"/>
    <w:rsid w:val="005A105B"/>
    <w:rsid w:val="005A5277"/>
    <w:rsid w:val="005D4FC1"/>
    <w:rsid w:val="005E11B4"/>
    <w:rsid w:val="005F5CEB"/>
    <w:rsid w:val="005F679D"/>
    <w:rsid w:val="005F720A"/>
    <w:rsid w:val="00600695"/>
    <w:rsid w:val="00606630"/>
    <w:rsid w:val="006135A3"/>
    <w:rsid w:val="0061740B"/>
    <w:rsid w:val="00657FC5"/>
    <w:rsid w:val="00675D87"/>
    <w:rsid w:val="00693E6E"/>
    <w:rsid w:val="006C3014"/>
    <w:rsid w:val="006D5EA6"/>
    <w:rsid w:val="006F6F51"/>
    <w:rsid w:val="00707DB0"/>
    <w:rsid w:val="0071086D"/>
    <w:rsid w:val="00736D49"/>
    <w:rsid w:val="007650D3"/>
    <w:rsid w:val="0078768E"/>
    <w:rsid w:val="007B55C6"/>
    <w:rsid w:val="007C7DF4"/>
    <w:rsid w:val="007C7E10"/>
    <w:rsid w:val="007F4743"/>
    <w:rsid w:val="008075B2"/>
    <w:rsid w:val="00834BB2"/>
    <w:rsid w:val="00837AA9"/>
    <w:rsid w:val="00842955"/>
    <w:rsid w:val="00842BE6"/>
    <w:rsid w:val="00844F54"/>
    <w:rsid w:val="00866CD1"/>
    <w:rsid w:val="00870773"/>
    <w:rsid w:val="0089001D"/>
    <w:rsid w:val="008A2C75"/>
    <w:rsid w:val="008A7285"/>
    <w:rsid w:val="008D6D46"/>
    <w:rsid w:val="008F27CF"/>
    <w:rsid w:val="008F3FE3"/>
    <w:rsid w:val="00963412"/>
    <w:rsid w:val="009706C8"/>
    <w:rsid w:val="009813DA"/>
    <w:rsid w:val="009845EC"/>
    <w:rsid w:val="009A09B4"/>
    <w:rsid w:val="009A1B10"/>
    <w:rsid w:val="009A345D"/>
    <w:rsid w:val="009A4BF1"/>
    <w:rsid w:val="009A77FA"/>
    <w:rsid w:val="009C470D"/>
    <w:rsid w:val="009F3032"/>
    <w:rsid w:val="009F3CBE"/>
    <w:rsid w:val="00A37F0C"/>
    <w:rsid w:val="00A42A28"/>
    <w:rsid w:val="00AB04C3"/>
    <w:rsid w:val="00AC0461"/>
    <w:rsid w:val="00AD679C"/>
    <w:rsid w:val="00AE739C"/>
    <w:rsid w:val="00AF2668"/>
    <w:rsid w:val="00AF3336"/>
    <w:rsid w:val="00B406C6"/>
    <w:rsid w:val="00B5194C"/>
    <w:rsid w:val="00B55CC2"/>
    <w:rsid w:val="00B615E4"/>
    <w:rsid w:val="00B84057"/>
    <w:rsid w:val="00B90D82"/>
    <w:rsid w:val="00B97D94"/>
    <w:rsid w:val="00BA0647"/>
    <w:rsid w:val="00BD16AA"/>
    <w:rsid w:val="00C47295"/>
    <w:rsid w:val="00C503E4"/>
    <w:rsid w:val="00C5363D"/>
    <w:rsid w:val="00C67531"/>
    <w:rsid w:val="00CC2F90"/>
    <w:rsid w:val="00CC4F47"/>
    <w:rsid w:val="00CE368B"/>
    <w:rsid w:val="00D20847"/>
    <w:rsid w:val="00D23A45"/>
    <w:rsid w:val="00D452F8"/>
    <w:rsid w:val="00D673BE"/>
    <w:rsid w:val="00DA1B16"/>
    <w:rsid w:val="00E22CF3"/>
    <w:rsid w:val="00E31362"/>
    <w:rsid w:val="00E53DED"/>
    <w:rsid w:val="00E6284A"/>
    <w:rsid w:val="00E62853"/>
    <w:rsid w:val="00E85A9F"/>
    <w:rsid w:val="00ED5A92"/>
    <w:rsid w:val="00ED7C86"/>
    <w:rsid w:val="00EE05A7"/>
    <w:rsid w:val="00EE490A"/>
    <w:rsid w:val="00EE5FB4"/>
    <w:rsid w:val="00EF1811"/>
    <w:rsid w:val="00F075BA"/>
    <w:rsid w:val="00F26B7C"/>
    <w:rsid w:val="00F3049F"/>
    <w:rsid w:val="00F317AD"/>
    <w:rsid w:val="00F34750"/>
    <w:rsid w:val="00F363EC"/>
    <w:rsid w:val="00F66AC7"/>
    <w:rsid w:val="00F81BA4"/>
    <w:rsid w:val="00FB7A1B"/>
    <w:rsid w:val="00FD7378"/>
    <w:rsid w:val="01154EDD"/>
    <w:rsid w:val="013B6C1A"/>
    <w:rsid w:val="014A2DD9"/>
    <w:rsid w:val="017B5688"/>
    <w:rsid w:val="01EC3FB9"/>
    <w:rsid w:val="020236B3"/>
    <w:rsid w:val="02054F52"/>
    <w:rsid w:val="02201D8C"/>
    <w:rsid w:val="024E46BC"/>
    <w:rsid w:val="025A34EF"/>
    <w:rsid w:val="028916DF"/>
    <w:rsid w:val="02CD3CC1"/>
    <w:rsid w:val="02D52B76"/>
    <w:rsid w:val="030516AD"/>
    <w:rsid w:val="032338E1"/>
    <w:rsid w:val="0337738D"/>
    <w:rsid w:val="03391357"/>
    <w:rsid w:val="03503A2D"/>
    <w:rsid w:val="037405E1"/>
    <w:rsid w:val="0377378E"/>
    <w:rsid w:val="03791D06"/>
    <w:rsid w:val="037E320E"/>
    <w:rsid w:val="03A231C1"/>
    <w:rsid w:val="03AD764F"/>
    <w:rsid w:val="03B31109"/>
    <w:rsid w:val="03CF75C5"/>
    <w:rsid w:val="03FE7EAB"/>
    <w:rsid w:val="04531FA4"/>
    <w:rsid w:val="046E5030"/>
    <w:rsid w:val="047F0FEB"/>
    <w:rsid w:val="04825F92"/>
    <w:rsid w:val="04A62A1C"/>
    <w:rsid w:val="04E62E18"/>
    <w:rsid w:val="050840DD"/>
    <w:rsid w:val="05094D59"/>
    <w:rsid w:val="05462526"/>
    <w:rsid w:val="05526700"/>
    <w:rsid w:val="05631E37"/>
    <w:rsid w:val="05656433"/>
    <w:rsid w:val="056D178C"/>
    <w:rsid w:val="05D327E7"/>
    <w:rsid w:val="05E03D0C"/>
    <w:rsid w:val="05F31C91"/>
    <w:rsid w:val="05FB6D97"/>
    <w:rsid w:val="060F4ACB"/>
    <w:rsid w:val="06112117"/>
    <w:rsid w:val="0633208D"/>
    <w:rsid w:val="06353C4E"/>
    <w:rsid w:val="069B58EA"/>
    <w:rsid w:val="06AB259A"/>
    <w:rsid w:val="06B807E5"/>
    <w:rsid w:val="06C947A0"/>
    <w:rsid w:val="06D55EFB"/>
    <w:rsid w:val="06DA69AD"/>
    <w:rsid w:val="06FF4665"/>
    <w:rsid w:val="070C4558"/>
    <w:rsid w:val="07527CF9"/>
    <w:rsid w:val="07660241"/>
    <w:rsid w:val="076A4F65"/>
    <w:rsid w:val="077C6286"/>
    <w:rsid w:val="077E1A2E"/>
    <w:rsid w:val="078B414B"/>
    <w:rsid w:val="07911761"/>
    <w:rsid w:val="07944A78"/>
    <w:rsid w:val="07C02047"/>
    <w:rsid w:val="07C136C9"/>
    <w:rsid w:val="07C37441"/>
    <w:rsid w:val="080F4285"/>
    <w:rsid w:val="082D0FA0"/>
    <w:rsid w:val="08381BDD"/>
    <w:rsid w:val="08400A92"/>
    <w:rsid w:val="085B58CB"/>
    <w:rsid w:val="086724C2"/>
    <w:rsid w:val="086A1FB2"/>
    <w:rsid w:val="0895472E"/>
    <w:rsid w:val="08B04428"/>
    <w:rsid w:val="08CA4DCB"/>
    <w:rsid w:val="09197888"/>
    <w:rsid w:val="092C1016"/>
    <w:rsid w:val="09300B06"/>
    <w:rsid w:val="0946032A"/>
    <w:rsid w:val="094A15EE"/>
    <w:rsid w:val="0955092D"/>
    <w:rsid w:val="09570789"/>
    <w:rsid w:val="09864BCA"/>
    <w:rsid w:val="09A137B2"/>
    <w:rsid w:val="09AA4D5C"/>
    <w:rsid w:val="09BE4364"/>
    <w:rsid w:val="09BF61ED"/>
    <w:rsid w:val="09D04097"/>
    <w:rsid w:val="09D122E9"/>
    <w:rsid w:val="09F14739"/>
    <w:rsid w:val="0A0855DF"/>
    <w:rsid w:val="0A0F696E"/>
    <w:rsid w:val="0A14667A"/>
    <w:rsid w:val="0A200B7B"/>
    <w:rsid w:val="0A2F0DBE"/>
    <w:rsid w:val="0A516F86"/>
    <w:rsid w:val="0ABB08A3"/>
    <w:rsid w:val="0ACF434F"/>
    <w:rsid w:val="0B0B35D9"/>
    <w:rsid w:val="0B13248D"/>
    <w:rsid w:val="0B1C0F00"/>
    <w:rsid w:val="0B372620"/>
    <w:rsid w:val="0B613662"/>
    <w:rsid w:val="0B9108F5"/>
    <w:rsid w:val="0B95512C"/>
    <w:rsid w:val="0BB7550F"/>
    <w:rsid w:val="0BB84D66"/>
    <w:rsid w:val="0BC47C2C"/>
    <w:rsid w:val="0BD026C8"/>
    <w:rsid w:val="0BD53BE7"/>
    <w:rsid w:val="0BE36304"/>
    <w:rsid w:val="0C0544CC"/>
    <w:rsid w:val="0C085CA5"/>
    <w:rsid w:val="0C0945F1"/>
    <w:rsid w:val="0C193AD3"/>
    <w:rsid w:val="0C1C35C4"/>
    <w:rsid w:val="0C2A5CE1"/>
    <w:rsid w:val="0C662A91"/>
    <w:rsid w:val="0C7156BE"/>
    <w:rsid w:val="0C851169"/>
    <w:rsid w:val="0C923718"/>
    <w:rsid w:val="0C995C20"/>
    <w:rsid w:val="0CA35A93"/>
    <w:rsid w:val="0CCF4ADA"/>
    <w:rsid w:val="0CE916F8"/>
    <w:rsid w:val="0CEF0CD8"/>
    <w:rsid w:val="0CEF2A86"/>
    <w:rsid w:val="0CFF716D"/>
    <w:rsid w:val="0D003541"/>
    <w:rsid w:val="0D0C397A"/>
    <w:rsid w:val="0D1D54FD"/>
    <w:rsid w:val="0D58687D"/>
    <w:rsid w:val="0D70006B"/>
    <w:rsid w:val="0D821B4C"/>
    <w:rsid w:val="0D896A37"/>
    <w:rsid w:val="0DA948EC"/>
    <w:rsid w:val="0DB61957"/>
    <w:rsid w:val="0DC44854"/>
    <w:rsid w:val="0DCD3E14"/>
    <w:rsid w:val="0E1C5904"/>
    <w:rsid w:val="0E2055ED"/>
    <w:rsid w:val="0E3F1A4C"/>
    <w:rsid w:val="0E43752E"/>
    <w:rsid w:val="0E461615"/>
    <w:rsid w:val="0E4A5DDF"/>
    <w:rsid w:val="0E4D6538"/>
    <w:rsid w:val="0E4F1A2E"/>
    <w:rsid w:val="0E8F62CF"/>
    <w:rsid w:val="0E903DF5"/>
    <w:rsid w:val="0ECA7307"/>
    <w:rsid w:val="0EF20709"/>
    <w:rsid w:val="0F1862C4"/>
    <w:rsid w:val="0F236AD5"/>
    <w:rsid w:val="0F29227F"/>
    <w:rsid w:val="0F70056F"/>
    <w:rsid w:val="0FB31C74"/>
    <w:rsid w:val="0FC401FA"/>
    <w:rsid w:val="0FD77F2D"/>
    <w:rsid w:val="0FE90A3F"/>
    <w:rsid w:val="0FF3288D"/>
    <w:rsid w:val="0FFC0270"/>
    <w:rsid w:val="101C0036"/>
    <w:rsid w:val="102A0D6A"/>
    <w:rsid w:val="102B0E6B"/>
    <w:rsid w:val="102E38C6"/>
    <w:rsid w:val="1030536D"/>
    <w:rsid w:val="1045758D"/>
    <w:rsid w:val="10501A8E"/>
    <w:rsid w:val="106157F8"/>
    <w:rsid w:val="109B492D"/>
    <w:rsid w:val="10A51DDA"/>
    <w:rsid w:val="10B73E46"/>
    <w:rsid w:val="10BE10ED"/>
    <w:rsid w:val="111451B1"/>
    <w:rsid w:val="1122342A"/>
    <w:rsid w:val="11406ADB"/>
    <w:rsid w:val="114415F3"/>
    <w:rsid w:val="114C0920"/>
    <w:rsid w:val="11585DA9"/>
    <w:rsid w:val="115D0906"/>
    <w:rsid w:val="11603F53"/>
    <w:rsid w:val="118054F2"/>
    <w:rsid w:val="11A227BD"/>
    <w:rsid w:val="11A958FA"/>
    <w:rsid w:val="11BC387F"/>
    <w:rsid w:val="11EB7CC0"/>
    <w:rsid w:val="123754F8"/>
    <w:rsid w:val="12505B99"/>
    <w:rsid w:val="12ED7789"/>
    <w:rsid w:val="12F24088"/>
    <w:rsid w:val="12F75EB0"/>
    <w:rsid w:val="12FD362F"/>
    <w:rsid w:val="13141499"/>
    <w:rsid w:val="135D4BEE"/>
    <w:rsid w:val="136850F6"/>
    <w:rsid w:val="13763F01"/>
    <w:rsid w:val="13906804"/>
    <w:rsid w:val="13A85B55"/>
    <w:rsid w:val="13C133CE"/>
    <w:rsid w:val="13D61A1C"/>
    <w:rsid w:val="13E1581F"/>
    <w:rsid w:val="13EE3862"/>
    <w:rsid w:val="13F6294C"/>
    <w:rsid w:val="14092680"/>
    <w:rsid w:val="14164D9C"/>
    <w:rsid w:val="14181419"/>
    <w:rsid w:val="14226D0F"/>
    <w:rsid w:val="1444190A"/>
    <w:rsid w:val="144731A8"/>
    <w:rsid w:val="147A44EB"/>
    <w:rsid w:val="149A59CD"/>
    <w:rsid w:val="14A8633C"/>
    <w:rsid w:val="14B22D17"/>
    <w:rsid w:val="14E8498B"/>
    <w:rsid w:val="14EB475C"/>
    <w:rsid w:val="14ED231D"/>
    <w:rsid w:val="15082937"/>
    <w:rsid w:val="15211C4B"/>
    <w:rsid w:val="152B05E3"/>
    <w:rsid w:val="1548367B"/>
    <w:rsid w:val="157601E9"/>
    <w:rsid w:val="159A3ED7"/>
    <w:rsid w:val="15BF5528"/>
    <w:rsid w:val="15CA4090"/>
    <w:rsid w:val="15F1161D"/>
    <w:rsid w:val="15F80BFE"/>
    <w:rsid w:val="160143C4"/>
    <w:rsid w:val="16351E52"/>
    <w:rsid w:val="164107F7"/>
    <w:rsid w:val="167F4B15"/>
    <w:rsid w:val="169E17A5"/>
    <w:rsid w:val="16A66239"/>
    <w:rsid w:val="17081314"/>
    <w:rsid w:val="172123D6"/>
    <w:rsid w:val="17487963"/>
    <w:rsid w:val="174D518E"/>
    <w:rsid w:val="178070FD"/>
    <w:rsid w:val="1796247C"/>
    <w:rsid w:val="17AA4179"/>
    <w:rsid w:val="17D42FA4"/>
    <w:rsid w:val="17D8259B"/>
    <w:rsid w:val="183A72AB"/>
    <w:rsid w:val="185A16FC"/>
    <w:rsid w:val="185F6D12"/>
    <w:rsid w:val="18786026"/>
    <w:rsid w:val="187C3D68"/>
    <w:rsid w:val="189270E7"/>
    <w:rsid w:val="189310B2"/>
    <w:rsid w:val="189F35B2"/>
    <w:rsid w:val="18A961DF"/>
    <w:rsid w:val="18AF5EEB"/>
    <w:rsid w:val="18E831AB"/>
    <w:rsid w:val="18FC0A05"/>
    <w:rsid w:val="19137AFC"/>
    <w:rsid w:val="194859F8"/>
    <w:rsid w:val="19573E8D"/>
    <w:rsid w:val="196A0EE8"/>
    <w:rsid w:val="197F1D31"/>
    <w:rsid w:val="19843555"/>
    <w:rsid w:val="19866F7A"/>
    <w:rsid w:val="1991739F"/>
    <w:rsid w:val="19CD70AA"/>
    <w:rsid w:val="1A4E76F7"/>
    <w:rsid w:val="1ACE4974"/>
    <w:rsid w:val="1AF8515B"/>
    <w:rsid w:val="1B1464DA"/>
    <w:rsid w:val="1B487F31"/>
    <w:rsid w:val="1B813443"/>
    <w:rsid w:val="1BAF6202"/>
    <w:rsid w:val="1BC11A92"/>
    <w:rsid w:val="1BC31CAE"/>
    <w:rsid w:val="1BCF59AB"/>
    <w:rsid w:val="1BD16179"/>
    <w:rsid w:val="1BDD2D6F"/>
    <w:rsid w:val="1BF30D1B"/>
    <w:rsid w:val="1C2D0D45"/>
    <w:rsid w:val="1C4D7BC1"/>
    <w:rsid w:val="1C744D56"/>
    <w:rsid w:val="1C844F99"/>
    <w:rsid w:val="1CC96E50"/>
    <w:rsid w:val="1CF30371"/>
    <w:rsid w:val="1CF653C3"/>
    <w:rsid w:val="1D3C0749"/>
    <w:rsid w:val="1D616245"/>
    <w:rsid w:val="1D693ED9"/>
    <w:rsid w:val="1D6D0123"/>
    <w:rsid w:val="1D835251"/>
    <w:rsid w:val="1D8D60CF"/>
    <w:rsid w:val="1D905BC0"/>
    <w:rsid w:val="1DA11B7B"/>
    <w:rsid w:val="1DA43419"/>
    <w:rsid w:val="1DA83E35"/>
    <w:rsid w:val="1DC37D43"/>
    <w:rsid w:val="1DD0260F"/>
    <w:rsid w:val="1DF61F64"/>
    <w:rsid w:val="1E652BA8"/>
    <w:rsid w:val="1E7948A6"/>
    <w:rsid w:val="1E937715"/>
    <w:rsid w:val="1EA96F39"/>
    <w:rsid w:val="1EC85764"/>
    <w:rsid w:val="1F070103"/>
    <w:rsid w:val="1F1F369F"/>
    <w:rsid w:val="1F5F1CED"/>
    <w:rsid w:val="1F9E2816"/>
    <w:rsid w:val="1FC35DD8"/>
    <w:rsid w:val="1FD96CCE"/>
    <w:rsid w:val="204A02A8"/>
    <w:rsid w:val="206051B5"/>
    <w:rsid w:val="208C266E"/>
    <w:rsid w:val="20A91472"/>
    <w:rsid w:val="210B5C89"/>
    <w:rsid w:val="2110329F"/>
    <w:rsid w:val="211508B6"/>
    <w:rsid w:val="21246D4B"/>
    <w:rsid w:val="21294361"/>
    <w:rsid w:val="212E5E4C"/>
    <w:rsid w:val="215533A8"/>
    <w:rsid w:val="21577120"/>
    <w:rsid w:val="21621621"/>
    <w:rsid w:val="21751354"/>
    <w:rsid w:val="21A41C3A"/>
    <w:rsid w:val="21B52099"/>
    <w:rsid w:val="21B66059"/>
    <w:rsid w:val="21C347B6"/>
    <w:rsid w:val="21CB7B6A"/>
    <w:rsid w:val="21CD1190"/>
    <w:rsid w:val="21D32C24"/>
    <w:rsid w:val="21E36C06"/>
    <w:rsid w:val="21F66939"/>
    <w:rsid w:val="21FF50C2"/>
    <w:rsid w:val="222F1E4B"/>
    <w:rsid w:val="22590C76"/>
    <w:rsid w:val="228F33A1"/>
    <w:rsid w:val="22A745A9"/>
    <w:rsid w:val="22AD39B9"/>
    <w:rsid w:val="22C819EE"/>
    <w:rsid w:val="22E03145"/>
    <w:rsid w:val="22EB3FC4"/>
    <w:rsid w:val="22FB7F7F"/>
    <w:rsid w:val="232474D6"/>
    <w:rsid w:val="23294AEC"/>
    <w:rsid w:val="232B25A1"/>
    <w:rsid w:val="23425BAE"/>
    <w:rsid w:val="234E638F"/>
    <w:rsid w:val="235A6A54"/>
    <w:rsid w:val="23607DE2"/>
    <w:rsid w:val="237C4C1C"/>
    <w:rsid w:val="23907664"/>
    <w:rsid w:val="23D762F6"/>
    <w:rsid w:val="23EB4B7A"/>
    <w:rsid w:val="241A349D"/>
    <w:rsid w:val="242552B4"/>
    <w:rsid w:val="24286B52"/>
    <w:rsid w:val="244107CE"/>
    <w:rsid w:val="246758CC"/>
    <w:rsid w:val="246B631B"/>
    <w:rsid w:val="2471674B"/>
    <w:rsid w:val="24BD6C4F"/>
    <w:rsid w:val="24CF3471"/>
    <w:rsid w:val="24D80578"/>
    <w:rsid w:val="24E94533"/>
    <w:rsid w:val="24FA6740"/>
    <w:rsid w:val="2506728F"/>
    <w:rsid w:val="2527505B"/>
    <w:rsid w:val="25494FD2"/>
    <w:rsid w:val="25496D80"/>
    <w:rsid w:val="255F65A3"/>
    <w:rsid w:val="256040C9"/>
    <w:rsid w:val="25757B75"/>
    <w:rsid w:val="25857515"/>
    <w:rsid w:val="25AD37B3"/>
    <w:rsid w:val="26040EF9"/>
    <w:rsid w:val="26230A92"/>
    <w:rsid w:val="262D31BD"/>
    <w:rsid w:val="262D66A1"/>
    <w:rsid w:val="264439EB"/>
    <w:rsid w:val="265A2DE8"/>
    <w:rsid w:val="268169ED"/>
    <w:rsid w:val="26841C9F"/>
    <w:rsid w:val="268A58A2"/>
    <w:rsid w:val="26946721"/>
    <w:rsid w:val="26955FF5"/>
    <w:rsid w:val="26B239ED"/>
    <w:rsid w:val="26DD00C8"/>
    <w:rsid w:val="26F251F5"/>
    <w:rsid w:val="27003DB6"/>
    <w:rsid w:val="27421CD9"/>
    <w:rsid w:val="2751016E"/>
    <w:rsid w:val="27561C28"/>
    <w:rsid w:val="27802801"/>
    <w:rsid w:val="27A74232"/>
    <w:rsid w:val="27D72D69"/>
    <w:rsid w:val="28074CD0"/>
    <w:rsid w:val="282835C4"/>
    <w:rsid w:val="286E196A"/>
    <w:rsid w:val="288307FB"/>
    <w:rsid w:val="2898368D"/>
    <w:rsid w:val="28AD1D1C"/>
    <w:rsid w:val="28B05368"/>
    <w:rsid w:val="28B5472C"/>
    <w:rsid w:val="28CA642A"/>
    <w:rsid w:val="28D022A0"/>
    <w:rsid w:val="28D70B46"/>
    <w:rsid w:val="28DF17A9"/>
    <w:rsid w:val="28FB65E3"/>
    <w:rsid w:val="290477E0"/>
    <w:rsid w:val="29064F88"/>
    <w:rsid w:val="2916341D"/>
    <w:rsid w:val="29231FDE"/>
    <w:rsid w:val="2939710B"/>
    <w:rsid w:val="293E50CC"/>
    <w:rsid w:val="294A756A"/>
    <w:rsid w:val="29826D04"/>
    <w:rsid w:val="299241FA"/>
    <w:rsid w:val="29A42626"/>
    <w:rsid w:val="29B6075C"/>
    <w:rsid w:val="29CE019B"/>
    <w:rsid w:val="2A034386"/>
    <w:rsid w:val="2A0D0CC4"/>
    <w:rsid w:val="2A3C6EB3"/>
    <w:rsid w:val="2A843BEB"/>
    <w:rsid w:val="2AA1140C"/>
    <w:rsid w:val="2ABF7AE4"/>
    <w:rsid w:val="2AE8528D"/>
    <w:rsid w:val="2B17347C"/>
    <w:rsid w:val="2B1D19B8"/>
    <w:rsid w:val="2B230073"/>
    <w:rsid w:val="2B4324C3"/>
    <w:rsid w:val="2B4A3852"/>
    <w:rsid w:val="2B4C1378"/>
    <w:rsid w:val="2B726905"/>
    <w:rsid w:val="2B88437A"/>
    <w:rsid w:val="2BA32F62"/>
    <w:rsid w:val="2BB1567F"/>
    <w:rsid w:val="2BB313F7"/>
    <w:rsid w:val="2BB7167F"/>
    <w:rsid w:val="2BBE1B4A"/>
    <w:rsid w:val="2BC74EA2"/>
    <w:rsid w:val="2BD17ACF"/>
    <w:rsid w:val="2BD4136D"/>
    <w:rsid w:val="2C1A76C8"/>
    <w:rsid w:val="2C2916B9"/>
    <w:rsid w:val="2C385DA0"/>
    <w:rsid w:val="2C4E7372"/>
    <w:rsid w:val="2C57495C"/>
    <w:rsid w:val="2C9254B0"/>
    <w:rsid w:val="2CA17262"/>
    <w:rsid w:val="2CDA29B3"/>
    <w:rsid w:val="2CE51A84"/>
    <w:rsid w:val="2CE90E48"/>
    <w:rsid w:val="2D016192"/>
    <w:rsid w:val="2D0B1F79"/>
    <w:rsid w:val="2D0F08AF"/>
    <w:rsid w:val="2D4B565F"/>
    <w:rsid w:val="2D953146"/>
    <w:rsid w:val="2E1D349F"/>
    <w:rsid w:val="2E3F3416"/>
    <w:rsid w:val="2E5A24E2"/>
    <w:rsid w:val="2EA83D72"/>
    <w:rsid w:val="2EAD4823"/>
    <w:rsid w:val="2EBA2A9C"/>
    <w:rsid w:val="2EC65434"/>
    <w:rsid w:val="2ECB6A58"/>
    <w:rsid w:val="2F4131BE"/>
    <w:rsid w:val="2F4B5DEA"/>
    <w:rsid w:val="2F560A17"/>
    <w:rsid w:val="2F665DA2"/>
    <w:rsid w:val="2F974B8C"/>
    <w:rsid w:val="2FB969C8"/>
    <w:rsid w:val="2FCD4A51"/>
    <w:rsid w:val="2FD14B9B"/>
    <w:rsid w:val="2FFB336C"/>
    <w:rsid w:val="30204B81"/>
    <w:rsid w:val="302E54F0"/>
    <w:rsid w:val="303C2C32"/>
    <w:rsid w:val="306E1D90"/>
    <w:rsid w:val="308E41E1"/>
    <w:rsid w:val="30AB6B41"/>
    <w:rsid w:val="30D42497"/>
    <w:rsid w:val="30D75B88"/>
    <w:rsid w:val="311F31F4"/>
    <w:rsid w:val="31401D64"/>
    <w:rsid w:val="31436D79"/>
    <w:rsid w:val="31475880"/>
    <w:rsid w:val="31501496"/>
    <w:rsid w:val="318A28D4"/>
    <w:rsid w:val="3191112E"/>
    <w:rsid w:val="31992E3D"/>
    <w:rsid w:val="31AB0C0C"/>
    <w:rsid w:val="31AD68E8"/>
    <w:rsid w:val="31B61C41"/>
    <w:rsid w:val="31D42811"/>
    <w:rsid w:val="31DB02DB"/>
    <w:rsid w:val="320F75A3"/>
    <w:rsid w:val="32430FFB"/>
    <w:rsid w:val="3272068C"/>
    <w:rsid w:val="32764F2C"/>
    <w:rsid w:val="32785148"/>
    <w:rsid w:val="32A8036C"/>
    <w:rsid w:val="32B12408"/>
    <w:rsid w:val="32BB5035"/>
    <w:rsid w:val="32C43EEA"/>
    <w:rsid w:val="32CF5ADE"/>
    <w:rsid w:val="32D560F7"/>
    <w:rsid w:val="33154745"/>
    <w:rsid w:val="333746BC"/>
    <w:rsid w:val="33627F5C"/>
    <w:rsid w:val="33680D19"/>
    <w:rsid w:val="33A37FA3"/>
    <w:rsid w:val="33BD232F"/>
    <w:rsid w:val="33D463AE"/>
    <w:rsid w:val="34350571"/>
    <w:rsid w:val="343C0A9B"/>
    <w:rsid w:val="344352E2"/>
    <w:rsid w:val="345319C9"/>
    <w:rsid w:val="34533777"/>
    <w:rsid w:val="348E0C53"/>
    <w:rsid w:val="34A83397"/>
    <w:rsid w:val="34D4517A"/>
    <w:rsid w:val="34E73EBF"/>
    <w:rsid w:val="34E93982"/>
    <w:rsid w:val="34EC7728"/>
    <w:rsid w:val="34EE524E"/>
    <w:rsid w:val="350F7B69"/>
    <w:rsid w:val="3511718E"/>
    <w:rsid w:val="352D221A"/>
    <w:rsid w:val="353A0493"/>
    <w:rsid w:val="3569702C"/>
    <w:rsid w:val="35727C2D"/>
    <w:rsid w:val="357E0BE0"/>
    <w:rsid w:val="3583274A"/>
    <w:rsid w:val="35A61FCC"/>
    <w:rsid w:val="35C81F43"/>
    <w:rsid w:val="35CF32D1"/>
    <w:rsid w:val="35D125AE"/>
    <w:rsid w:val="360D3DFA"/>
    <w:rsid w:val="360D5BA8"/>
    <w:rsid w:val="36176A26"/>
    <w:rsid w:val="36251143"/>
    <w:rsid w:val="36252EF1"/>
    <w:rsid w:val="36280C33"/>
    <w:rsid w:val="364C2B74"/>
    <w:rsid w:val="36743E79"/>
    <w:rsid w:val="367E6AA5"/>
    <w:rsid w:val="369E0EF6"/>
    <w:rsid w:val="36B100B1"/>
    <w:rsid w:val="36B50F25"/>
    <w:rsid w:val="36E032BC"/>
    <w:rsid w:val="36FD5C1C"/>
    <w:rsid w:val="370A25EB"/>
    <w:rsid w:val="37133BC2"/>
    <w:rsid w:val="372B09DB"/>
    <w:rsid w:val="372E60C0"/>
    <w:rsid w:val="37321D6A"/>
    <w:rsid w:val="37403D5B"/>
    <w:rsid w:val="37441A9D"/>
    <w:rsid w:val="374970B3"/>
    <w:rsid w:val="37AE6F16"/>
    <w:rsid w:val="37B87D95"/>
    <w:rsid w:val="381620C6"/>
    <w:rsid w:val="381E22EE"/>
    <w:rsid w:val="38233460"/>
    <w:rsid w:val="38397128"/>
    <w:rsid w:val="38741F0E"/>
    <w:rsid w:val="38A10829"/>
    <w:rsid w:val="38EE794F"/>
    <w:rsid w:val="38FE337B"/>
    <w:rsid w:val="39184F8F"/>
    <w:rsid w:val="39253208"/>
    <w:rsid w:val="392C0A3B"/>
    <w:rsid w:val="392E030F"/>
    <w:rsid w:val="39311BAD"/>
    <w:rsid w:val="393D67A4"/>
    <w:rsid w:val="39567866"/>
    <w:rsid w:val="395B4E7C"/>
    <w:rsid w:val="39761CB6"/>
    <w:rsid w:val="39A95BE7"/>
    <w:rsid w:val="39AB5E03"/>
    <w:rsid w:val="39C12F31"/>
    <w:rsid w:val="39CF2763"/>
    <w:rsid w:val="39E6508D"/>
    <w:rsid w:val="3A0B0B06"/>
    <w:rsid w:val="3A685AA2"/>
    <w:rsid w:val="3A773F37"/>
    <w:rsid w:val="3A9C596E"/>
    <w:rsid w:val="3AAC1E33"/>
    <w:rsid w:val="3AD76784"/>
    <w:rsid w:val="3AEA64B7"/>
    <w:rsid w:val="3AEB6910"/>
    <w:rsid w:val="3AF01909"/>
    <w:rsid w:val="3AFF6407"/>
    <w:rsid w:val="3B4756B8"/>
    <w:rsid w:val="3B6C3370"/>
    <w:rsid w:val="3B732951"/>
    <w:rsid w:val="3B7A783B"/>
    <w:rsid w:val="3B8B19B1"/>
    <w:rsid w:val="3B9114CB"/>
    <w:rsid w:val="3BA23236"/>
    <w:rsid w:val="3BBF16F2"/>
    <w:rsid w:val="3BEE1FD7"/>
    <w:rsid w:val="3BF75330"/>
    <w:rsid w:val="3BFA4E20"/>
    <w:rsid w:val="3BFD046C"/>
    <w:rsid w:val="3C0417FB"/>
    <w:rsid w:val="3C215F09"/>
    <w:rsid w:val="3C29524B"/>
    <w:rsid w:val="3C6D73A0"/>
    <w:rsid w:val="3C9819CB"/>
    <w:rsid w:val="3CAA05F4"/>
    <w:rsid w:val="3CB52AF5"/>
    <w:rsid w:val="3CC92485"/>
    <w:rsid w:val="3CE545DB"/>
    <w:rsid w:val="3CEC4B63"/>
    <w:rsid w:val="3CF74EBC"/>
    <w:rsid w:val="3D163594"/>
    <w:rsid w:val="3D22018A"/>
    <w:rsid w:val="3D4A148F"/>
    <w:rsid w:val="3D6D517E"/>
    <w:rsid w:val="3D8726E3"/>
    <w:rsid w:val="3D9D1752"/>
    <w:rsid w:val="3DA00D05"/>
    <w:rsid w:val="3DA212CB"/>
    <w:rsid w:val="3DB35B35"/>
    <w:rsid w:val="3DE85031"/>
    <w:rsid w:val="3E2F67FC"/>
    <w:rsid w:val="3E5F0F6A"/>
    <w:rsid w:val="3E611FE4"/>
    <w:rsid w:val="3EC6100D"/>
    <w:rsid w:val="3EC84D62"/>
    <w:rsid w:val="3ECF7E9E"/>
    <w:rsid w:val="3EFE4C27"/>
    <w:rsid w:val="3F1735F3"/>
    <w:rsid w:val="3F2C52F0"/>
    <w:rsid w:val="3F9D1D4A"/>
    <w:rsid w:val="3FA47A89"/>
    <w:rsid w:val="3FA96941"/>
    <w:rsid w:val="3FAE03FB"/>
    <w:rsid w:val="3FAE3F57"/>
    <w:rsid w:val="3FCE45FA"/>
    <w:rsid w:val="3FD55988"/>
    <w:rsid w:val="3FD85478"/>
    <w:rsid w:val="3FE200A5"/>
    <w:rsid w:val="40095632"/>
    <w:rsid w:val="402B1A4C"/>
    <w:rsid w:val="40302BBE"/>
    <w:rsid w:val="403B1563"/>
    <w:rsid w:val="40786454"/>
    <w:rsid w:val="4079476E"/>
    <w:rsid w:val="408A369D"/>
    <w:rsid w:val="40A92971"/>
    <w:rsid w:val="40BA4B7E"/>
    <w:rsid w:val="40BA673E"/>
    <w:rsid w:val="40C652D1"/>
    <w:rsid w:val="40CA3013"/>
    <w:rsid w:val="40D07BA2"/>
    <w:rsid w:val="40D1225F"/>
    <w:rsid w:val="412D5350"/>
    <w:rsid w:val="41306BEE"/>
    <w:rsid w:val="4162324B"/>
    <w:rsid w:val="41662610"/>
    <w:rsid w:val="41727207"/>
    <w:rsid w:val="418A1E46"/>
    <w:rsid w:val="41A05B22"/>
    <w:rsid w:val="41B24CC0"/>
    <w:rsid w:val="42097B6B"/>
    <w:rsid w:val="420C765B"/>
    <w:rsid w:val="42157286"/>
    <w:rsid w:val="421A1D78"/>
    <w:rsid w:val="42272111"/>
    <w:rsid w:val="42413380"/>
    <w:rsid w:val="425D3A13"/>
    <w:rsid w:val="42701998"/>
    <w:rsid w:val="429D6505"/>
    <w:rsid w:val="42A94EAA"/>
    <w:rsid w:val="42BB4857"/>
    <w:rsid w:val="42C13FA2"/>
    <w:rsid w:val="42CB4E20"/>
    <w:rsid w:val="42F0333F"/>
    <w:rsid w:val="431F6F1A"/>
    <w:rsid w:val="432A5FEB"/>
    <w:rsid w:val="43317379"/>
    <w:rsid w:val="436B215F"/>
    <w:rsid w:val="436F1C50"/>
    <w:rsid w:val="43917E18"/>
    <w:rsid w:val="43A23DD3"/>
    <w:rsid w:val="43C401ED"/>
    <w:rsid w:val="43D40515"/>
    <w:rsid w:val="43DE0B83"/>
    <w:rsid w:val="43EF0FE2"/>
    <w:rsid w:val="440525B4"/>
    <w:rsid w:val="440E76BA"/>
    <w:rsid w:val="44103408"/>
    <w:rsid w:val="44380293"/>
    <w:rsid w:val="443D3AFC"/>
    <w:rsid w:val="443F5AC6"/>
    <w:rsid w:val="4476700E"/>
    <w:rsid w:val="44817E8C"/>
    <w:rsid w:val="449556E6"/>
    <w:rsid w:val="44A92F3F"/>
    <w:rsid w:val="44B3549F"/>
    <w:rsid w:val="44CB5274"/>
    <w:rsid w:val="44D20F12"/>
    <w:rsid w:val="44DC2E06"/>
    <w:rsid w:val="45321187"/>
    <w:rsid w:val="455870C9"/>
    <w:rsid w:val="45850C32"/>
    <w:rsid w:val="458A0FC3"/>
    <w:rsid w:val="45AD2F03"/>
    <w:rsid w:val="45C25B11"/>
    <w:rsid w:val="45F14B9E"/>
    <w:rsid w:val="46067A8F"/>
    <w:rsid w:val="460F3276"/>
    <w:rsid w:val="46236D21"/>
    <w:rsid w:val="46304E6E"/>
    <w:rsid w:val="464253F9"/>
    <w:rsid w:val="46511AE0"/>
    <w:rsid w:val="46537607"/>
    <w:rsid w:val="4692749D"/>
    <w:rsid w:val="46B52647"/>
    <w:rsid w:val="46F81F5C"/>
    <w:rsid w:val="46FC5729"/>
    <w:rsid w:val="473A2575"/>
    <w:rsid w:val="47833F1C"/>
    <w:rsid w:val="478C2596"/>
    <w:rsid w:val="47B57E4D"/>
    <w:rsid w:val="47CA7D9C"/>
    <w:rsid w:val="47F00068"/>
    <w:rsid w:val="47F6649C"/>
    <w:rsid w:val="48104E03"/>
    <w:rsid w:val="483B47F6"/>
    <w:rsid w:val="48455675"/>
    <w:rsid w:val="486378A9"/>
    <w:rsid w:val="48653621"/>
    <w:rsid w:val="48693111"/>
    <w:rsid w:val="48735D3E"/>
    <w:rsid w:val="487F0B87"/>
    <w:rsid w:val="48A759E8"/>
    <w:rsid w:val="48C42A3E"/>
    <w:rsid w:val="48DD3AFF"/>
    <w:rsid w:val="48FA1FBB"/>
    <w:rsid w:val="48FF75D2"/>
    <w:rsid w:val="49083775"/>
    <w:rsid w:val="49311755"/>
    <w:rsid w:val="495C4A24"/>
    <w:rsid w:val="497944EE"/>
    <w:rsid w:val="49885819"/>
    <w:rsid w:val="49971F00"/>
    <w:rsid w:val="499917D4"/>
    <w:rsid w:val="499A72FA"/>
    <w:rsid w:val="4A225C6E"/>
    <w:rsid w:val="4A317C5F"/>
    <w:rsid w:val="4A4200BE"/>
    <w:rsid w:val="4A4C4A99"/>
    <w:rsid w:val="4A4F27DB"/>
    <w:rsid w:val="4A6A3171"/>
    <w:rsid w:val="4A7374FD"/>
    <w:rsid w:val="4A800BE6"/>
    <w:rsid w:val="4AE7656F"/>
    <w:rsid w:val="4B1A06F3"/>
    <w:rsid w:val="4B223A4B"/>
    <w:rsid w:val="4B2E23F0"/>
    <w:rsid w:val="4B48557F"/>
    <w:rsid w:val="4B6E4EE3"/>
    <w:rsid w:val="4B904E59"/>
    <w:rsid w:val="4B9C55AC"/>
    <w:rsid w:val="4BB74194"/>
    <w:rsid w:val="4BB87F0C"/>
    <w:rsid w:val="4BBD5522"/>
    <w:rsid w:val="4BC93EC7"/>
    <w:rsid w:val="4BE13907"/>
    <w:rsid w:val="4BE27F8A"/>
    <w:rsid w:val="4BF21670"/>
    <w:rsid w:val="4BF4565D"/>
    <w:rsid w:val="4C0849EF"/>
    <w:rsid w:val="4C0C0983"/>
    <w:rsid w:val="4C12586E"/>
    <w:rsid w:val="4C1F6955"/>
    <w:rsid w:val="4C854292"/>
    <w:rsid w:val="4C995F8F"/>
    <w:rsid w:val="4CA24E44"/>
    <w:rsid w:val="4CA72C0A"/>
    <w:rsid w:val="4CB21AFB"/>
    <w:rsid w:val="4CBC55AA"/>
    <w:rsid w:val="4CBE77A4"/>
    <w:rsid w:val="4CF431C6"/>
    <w:rsid w:val="4D083DDA"/>
    <w:rsid w:val="4D670166"/>
    <w:rsid w:val="4D7C5695"/>
    <w:rsid w:val="4D7E765F"/>
    <w:rsid w:val="4DB52955"/>
    <w:rsid w:val="4DC42B98"/>
    <w:rsid w:val="4DC82688"/>
    <w:rsid w:val="4DCD5698"/>
    <w:rsid w:val="4E031912"/>
    <w:rsid w:val="4E105DDD"/>
    <w:rsid w:val="4E395334"/>
    <w:rsid w:val="4E467A51"/>
    <w:rsid w:val="4E5263F6"/>
    <w:rsid w:val="4E791BD4"/>
    <w:rsid w:val="4E8D5806"/>
    <w:rsid w:val="4E8F31A6"/>
    <w:rsid w:val="4EA053B3"/>
    <w:rsid w:val="4EB21A54"/>
    <w:rsid w:val="4EC05A55"/>
    <w:rsid w:val="4ECF5307"/>
    <w:rsid w:val="4ED52497"/>
    <w:rsid w:val="4ED60DD5"/>
    <w:rsid w:val="4EDE5EDB"/>
    <w:rsid w:val="4EDF237F"/>
    <w:rsid w:val="4F133DD7"/>
    <w:rsid w:val="4F143711"/>
    <w:rsid w:val="4F31425D"/>
    <w:rsid w:val="4F3E697A"/>
    <w:rsid w:val="4F4246BC"/>
    <w:rsid w:val="4F54124B"/>
    <w:rsid w:val="4F732AC8"/>
    <w:rsid w:val="4F8E7901"/>
    <w:rsid w:val="4F93316A"/>
    <w:rsid w:val="4FA72771"/>
    <w:rsid w:val="4FB07878"/>
    <w:rsid w:val="4FC13833"/>
    <w:rsid w:val="4FD25A40"/>
    <w:rsid w:val="4FD86DCF"/>
    <w:rsid w:val="4FFC0403"/>
    <w:rsid w:val="50242014"/>
    <w:rsid w:val="504932BA"/>
    <w:rsid w:val="5060129E"/>
    <w:rsid w:val="50700DB5"/>
    <w:rsid w:val="50795EBC"/>
    <w:rsid w:val="50A373DC"/>
    <w:rsid w:val="50C335DB"/>
    <w:rsid w:val="50CA4969"/>
    <w:rsid w:val="50CF3D2E"/>
    <w:rsid w:val="50D37CC2"/>
    <w:rsid w:val="50D55606"/>
    <w:rsid w:val="50EF2622"/>
    <w:rsid w:val="50F11EF6"/>
    <w:rsid w:val="510A120A"/>
    <w:rsid w:val="511931FB"/>
    <w:rsid w:val="512A18AC"/>
    <w:rsid w:val="51383FC9"/>
    <w:rsid w:val="514566E6"/>
    <w:rsid w:val="516955D4"/>
    <w:rsid w:val="51736DAF"/>
    <w:rsid w:val="51956D25"/>
    <w:rsid w:val="519F7BA4"/>
    <w:rsid w:val="51B15B29"/>
    <w:rsid w:val="51E1640E"/>
    <w:rsid w:val="52187956"/>
    <w:rsid w:val="521C002A"/>
    <w:rsid w:val="521F1A35"/>
    <w:rsid w:val="5221680B"/>
    <w:rsid w:val="522D3402"/>
    <w:rsid w:val="5245699D"/>
    <w:rsid w:val="52462715"/>
    <w:rsid w:val="524B7790"/>
    <w:rsid w:val="525210BA"/>
    <w:rsid w:val="526130AB"/>
    <w:rsid w:val="526861E8"/>
    <w:rsid w:val="5288688A"/>
    <w:rsid w:val="5294522F"/>
    <w:rsid w:val="52E87329"/>
    <w:rsid w:val="52F12681"/>
    <w:rsid w:val="53004672"/>
    <w:rsid w:val="53605111"/>
    <w:rsid w:val="536270DB"/>
    <w:rsid w:val="539E0781"/>
    <w:rsid w:val="53A70F92"/>
    <w:rsid w:val="53B042EA"/>
    <w:rsid w:val="53B536AF"/>
    <w:rsid w:val="53F8359B"/>
    <w:rsid w:val="540208BE"/>
    <w:rsid w:val="5406215C"/>
    <w:rsid w:val="540D34EB"/>
    <w:rsid w:val="541128AF"/>
    <w:rsid w:val="54413194"/>
    <w:rsid w:val="54414F42"/>
    <w:rsid w:val="544467E1"/>
    <w:rsid w:val="54574766"/>
    <w:rsid w:val="54696247"/>
    <w:rsid w:val="546F0DA7"/>
    <w:rsid w:val="5480697A"/>
    <w:rsid w:val="54A159E1"/>
    <w:rsid w:val="54A3155A"/>
    <w:rsid w:val="54AB4A7B"/>
    <w:rsid w:val="54D67D81"/>
    <w:rsid w:val="54DE4E87"/>
    <w:rsid w:val="54F2448F"/>
    <w:rsid w:val="550B1F09"/>
    <w:rsid w:val="5559572E"/>
    <w:rsid w:val="55693F2B"/>
    <w:rsid w:val="55780E38"/>
    <w:rsid w:val="557E54E7"/>
    <w:rsid w:val="558E065B"/>
    <w:rsid w:val="559D264C"/>
    <w:rsid w:val="55A27C63"/>
    <w:rsid w:val="55B856D8"/>
    <w:rsid w:val="55BB6815"/>
    <w:rsid w:val="55CA750C"/>
    <w:rsid w:val="55D41DE6"/>
    <w:rsid w:val="55F67FAE"/>
    <w:rsid w:val="56440D1A"/>
    <w:rsid w:val="564725B8"/>
    <w:rsid w:val="5648468A"/>
    <w:rsid w:val="56811F6E"/>
    <w:rsid w:val="568850AA"/>
    <w:rsid w:val="56A2484D"/>
    <w:rsid w:val="56C92351"/>
    <w:rsid w:val="56D402F0"/>
    <w:rsid w:val="56D976B4"/>
    <w:rsid w:val="56E542AB"/>
    <w:rsid w:val="56EB73E7"/>
    <w:rsid w:val="570F1328"/>
    <w:rsid w:val="57256D9D"/>
    <w:rsid w:val="57816421"/>
    <w:rsid w:val="578E67B4"/>
    <w:rsid w:val="579B2BBB"/>
    <w:rsid w:val="57AE5369"/>
    <w:rsid w:val="57BD1E91"/>
    <w:rsid w:val="57C739B1"/>
    <w:rsid w:val="57D85BBE"/>
    <w:rsid w:val="581C286A"/>
    <w:rsid w:val="582C415B"/>
    <w:rsid w:val="58385F74"/>
    <w:rsid w:val="583D3C73"/>
    <w:rsid w:val="585D4315"/>
    <w:rsid w:val="589A2E73"/>
    <w:rsid w:val="58B101BD"/>
    <w:rsid w:val="58BC54DF"/>
    <w:rsid w:val="58C148A4"/>
    <w:rsid w:val="58C6010C"/>
    <w:rsid w:val="59011144"/>
    <w:rsid w:val="591913F1"/>
    <w:rsid w:val="591C2A03"/>
    <w:rsid w:val="5943175D"/>
    <w:rsid w:val="59592D2E"/>
    <w:rsid w:val="595E20F3"/>
    <w:rsid w:val="59771406"/>
    <w:rsid w:val="597C0D6F"/>
    <w:rsid w:val="597D2F61"/>
    <w:rsid w:val="59861649"/>
    <w:rsid w:val="59B54F08"/>
    <w:rsid w:val="59C81C62"/>
    <w:rsid w:val="59D14FBA"/>
    <w:rsid w:val="59F84FB1"/>
    <w:rsid w:val="59F858DB"/>
    <w:rsid w:val="5A005CFC"/>
    <w:rsid w:val="5A2A3DEF"/>
    <w:rsid w:val="5A355549"/>
    <w:rsid w:val="5A5C1CE7"/>
    <w:rsid w:val="5A5C27C7"/>
    <w:rsid w:val="5A9A53AC"/>
    <w:rsid w:val="5AA93841"/>
    <w:rsid w:val="5AC16DDD"/>
    <w:rsid w:val="5AC370EF"/>
    <w:rsid w:val="5AD7215D"/>
    <w:rsid w:val="5ADF3707"/>
    <w:rsid w:val="5AFC1BC3"/>
    <w:rsid w:val="5B1F1D55"/>
    <w:rsid w:val="5B1F3B03"/>
    <w:rsid w:val="5BA504AD"/>
    <w:rsid w:val="5BD62414"/>
    <w:rsid w:val="5BD7618C"/>
    <w:rsid w:val="5BE03293"/>
    <w:rsid w:val="5BE2700B"/>
    <w:rsid w:val="5C001B87"/>
    <w:rsid w:val="5C0F3B78"/>
    <w:rsid w:val="5C5F68AD"/>
    <w:rsid w:val="5C606821"/>
    <w:rsid w:val="5C7B2FBB"/>
    <w:rsid w:val="5C966047"/>
    <w:rsid w:val="5CA40764"/>
    <w:rsid w:val="5CC85DD9"/>
    <w:rsid w:val="5CD1707F"/>
    <w:rsid w:val="5CFE60C6"/>
    <w:rsid w:val="5CFF3BED"/>
    <w:rsid w:val="5D07484F"/>
    <w:rsid w:val="5D665A1A"/>
    <w:rsid w:val="5D8B722E"/>
    <w:rsid w:val="5D964551"/>
    <w:rsid w:val="5DA16A52"/>
    <w:rsid w:val="5DA36C6E"/>
    <w:rsid w:val="5DD24E5D"/>
    <w:rsid w:val="5DE60909"/>
    <w:rsid w:val="5E0F1C0D"/>
    <w:rsid w:val="5E0F7E5F"/>
    <w:rsid w:val="5E14191A"/>
    <w:rsid w:val="5E345B18"/>
    <w:rsid w:val="5E394EDC"/>
    <w:rsid w:val="5E4D0988"/>
    <w:rsid w:val="5E7B72A3"/>
    <w:rsid w:val="5EAC1B52"/>
    <w:rsid w:val="5EC944B2"/>
    <w:rsid w:val="5ED846F5"/>
    <w:rsid w:val="5EDA046D"/>
    <w:rsid w:val="5F061262"/>
    <w:rsid w:val="5F3D4E58"/>
    <w:rsid w:val="5F5244A8"/>
    <w:rsid w:val="5F5D4BFA"/>
    <w:rsid w:val="5F667F53"/>
    <w:rsid w:val="5F6E4A8B"/>
    <w:rsid w:val="5F7E529D"/>
    <w:rsid w:val="5F926F9A"/>
    <w:rsid w:val="5FAA6092"/>
    <w:rsid w:val="5FB310DF"/>
    <w:rsid w:val="5FCA0871"/>
    <w:rsid w:val="5FD20EC1"/>
    <w:rsid w:val="5FDC6467"/>
    <w:rsid w:val="5FDE5D3B"/>
    <w:rsid w:val="5FE5356E"/>
    <w:rsid w:val="5FF92B75"/>
    <w:rsid w:val="60067040"/>
    <w:rsid w:val="60070FF5"/>
    <w:rsid w:val="605B435E"/>
    <w:rsid w:val="607641C6"/>
    <w:rsid w:val="6098238E"/>
    <w:rsid w:val="60A46F85"/>
    <w:rsid w:val="60AF76D8"/>
    <w:rsid w:val="60DB671F"/>
    <w:rsid w:val="60E92BEA"/>
    <w:rsid w:val="61265BEC"/>
    <w:rsid w:val="613320B7"/>
    <w:rsid w:val="614B5652"/>
    <w:rsid w:val="615F2EAC"/>
    <w:rsid w:val="61BD7BD2"/>
    <w:rsid w:val="61D03DA9"/>
    <w:rsid w:val="62083543"/>
    <w:rsid w:val="622B0FE0"/>
    <w:rsid w:val="6239042B"/>
    <w:rsid w:val="625247BE"/>
    <w:rsid w:val="625B3673"/>
    <w:rsid w:val="62854B94"/>
    <w:rsid w:val="62B40FD5"/>
    <w:rsid w:val="62B877A9"/>
    <w:rsid w:val="62D36C02"/>
    <w:rsid w:val="62D6719E"/>
    <w:rsid w:val="63247F09"/>
    <w:rsid w:val="63642537"/>
    <w:rsid w:val="6372336A"/>
    <w:rsid w:val="63B514A9"/>
    <w:rsid w:val="63BE65AF"/>
    <w:rsid w:val="63DF6526"/>
    <w:rsid w:val="63EB4ECB"/>
    <w:rsid w:val="642B7805"/>
    <w:rsid w:val="64436AB5"/>
    <w:rsid w:val="644F1F00"/>
    <w:rsid w:val="645111D2"/>
    <w:rsid w:val="64813139"/>
    <w:rsid w:val="64A62BA0"/>
    <w:rsid w:val="64AD3A81"/>
    <w:rsid w:val="64CD637E"/>
    <w:rsid w:val="64CF20F6"/>
    <w:rsid w:val="65240694"/>
    <w:rsid w:val="65735178"/>
    <w:rsid w:val="6578453C"/>
    <w:rsid w:val="658B24C1"/>
    <w:rsid w:val="65A74E21"/>
    <w:rsid w:val="65AB70EC"/>
    <w:rsid w:val="65AE4402"/>
    <w:rsid w:val="65B80DDC"/>
    <w:rsid w:val="65CD71A7"/>
    <w:rsid w:val="65DC4ACB"/>
    <w:rsid w:val="66216982"/>
    <w:rsid w:val="66246472"/>
    <w:rsid w:val="662621EA"/>
    <w:rsid w:val="6694184A"/>
    <w:rsid w:val="66BE33EF"/>
    <w:rsid w:val="66C11F13"/>
    <w:rsid w:val="66D87988"/>
    <w:rsid w:val="66DB4D83"/>
    <w:rsid w:val="67196389"/>
    <w:rsid w:val="673D3DB4"/>
    <w:rsid w:val="673F17B5"/>
    <w:rsid w:val="6752750F"/>
    <w:rsid w:val="676236F6"/>
    <w:rsid w:val="67A91325"/>
    <w:rsid w:val="67B476E5"/>
    <w:rsid w:val="67DB659D"/>
    <w:rsid w:val="67E22141"/>
    <w:rsid w:val="680B1697"/>
    <w:rsid w:val="68264723"/>
    <w:rsid w:val="68295FC1"/>
    <w:rsid w:val="68500530"/>
    <w:rsid w:val="686156CE"/>
    <w:rsid w:val="687C254D"/>
    <w:rsid w:val="68AF64C7"/>
    <w:rsid w:val="68D300DD"/>
    <w:rsid w:val="68E14F61"/>
    <w:rsid w:val="68F640F6"/>
    <w:rsid w:val="69004F74"/>
    <w:rsid w:val="690507DD"/>
    <w:rsid w:val="692C7B17"/>
    <w:rsid w:val="693C68D0"/>
    <w:rsid w:val="69601EB7"/>
    <w:rsid w:val="697D39B3"/>
    <w:rsid w:val="69B63885"/>
    <w:rsid w:val="69B76B81"/>
    <w:rsid w:val="69B909D7"/>
    <w:rsid w:val="69BF098B"/>
    <w:rsid w:val="69C051F1"/>
    <w:rsid w:val="69DB153D"/>
    <w:rsid w:val="69EB3D03"/>
    <w:rsid w:val="6A126E87"/>
    <w:rsid w:val="6A2C1D99"/>
    <w:rsid w:val="6A303637"/>
    <w:rsid w:val="6A3218FF"/>
    <w:rsid w:val="6A564D5C"/>
    <w:rsid w:val="6A624FF6"/>
    <w:rsid w:val="6A837C0B"/>
    <w:rsid w:val="6A8D0A8A"/>
    <w:rsid w:val="6ABD54CC"/>
    <w:rsid w:val="6AD93CCF"/>
    <w:rsid w:val="6AE61F48"/>
    <w:rsid w:val="6AF56895"/>
    <w:rsid w:val="6B146AB5"/>
    <w:rsid w:val="6B2807B2"/>
    <w:rsid w:val="6B2F4D02"/>
    <w:rsid w:val="6B4C0B24"/>
    <w:rsid w:val="6B60619E"/>
    <w:rsid w:val="6B653AF5"/>
    <w:rsid w:val="6B9D521B"/>
    <w:rsid w:val="6BA75B7B"/>
    <w:rsid w:val="6BBF1858"/>
    <w:rsid w:val="6BCA5104"/>
    <w:rsid w:val="6BF07522"/>
    <w:rsid w:val="6C1D408F"/>
    <w:rsid w:val="6C3C2817"/>
    <w:rsid w:val="6C4B6506"/>
    <w:rsid w:val="6C596DB4"/>
    <w:rsid w:val="6C5A0E3F"/>
    <w:rsid w:val="6C5F0204"/>
    <w:rsid w:val="6C6D6230"/>
    <w:rsid w:val="6C871509"/>
    <w:rsid w:val="6C895281"/>
    <w:rsid w:val="6C922387"/>
    <w:rsid w:val="6C9E6F7E"/>
    <w:rsid w:val="6CA200F0"/>
    <w:rsid w:val="6CBF0CA2"/>
    <w:rsid w:val="6CD258B0"/>
    <w:rsid w:val="6CE27746"/>
    <w:rsid w:val="6CE903E8"/>
    <w:rsid w:val="6D0D1A0E"/>
    <w:rsid w:val="6D1E1539"/>
    <w:rsid w:val="6D21370B"/>
    <w:rsid w:val="6D254FA9"/>
    <w:rsid w:val="6D4573FA"/>
    <w:rsid w:val="6D7E46BA"/>
    <w:rsid w:val="6D8819DC"/>
    <w:rsid w:val="6D97577B"/>
    <w:rsid w:val="6DB90886"/>
    <w:rsid w:val="6DC24EEE"/>
    <w:rsid w:val="6DC522E8"/>
    <w:rsid w:val="6DC76061"/>
    <w:rsid w:val="6E0E5A3E"/>
    <w:rsid w:val="6E596F8D"/>
    <w:rsid w:val="6E5A7BE7"/>
    <w:rsid w:val="6E5D4C17"/>
    <w:rsid w:val="6E5D69C5"/>
    <w:rsid w:val="6E8201DA"/>
    <w:rsid w:val="6E982396"/>
    <w:rsid w:val="6EAB3BD4"/>
    <w:rsid w:val="6EBA20A6"/>
    <w:rsid w:val="6EBE3907"/>
    <w:rsid w:val="6F103A37"/>
    <w:rsid w:val="6F116908"/>
    <w:rsid w:val="6F2474E3"/>
    <w:rsid w:val="6F4D4C8B"/>
    <w:rsid w:val="6F573414"/>
    <w:rsid w:val="6F616041"/>
    <w:rsid w:val="6FB940CF"/>
    <w:rsid w:val="6FD44A65"/>
    <w:rsid w:val="6FE27182"/>
    <w:rsid w:val="6FF47321"/>
    <w:rsid w:val="70077029"/>
    <w:rsid w:val="70082960"/>
    <w:rsid w:val="704F058F"/>
    <w:rsid w:val="70585696"/>
    <w:rsid w:val="70622071"/>
    <w:rsid w:val="70645DE9"/>
    <w:rsid w:val="70710506"/>
    <w:rsid w:val="70893AA1"/>
    <w:rsid w:val="70A44432"/>
    <w:rsid w:val="70A46B2D"/>
    <w:rsid w:val="70C76378"/>
    <w:rsid w:val="70D72A5F"/>
    <w:rsid w:val="70DF7B65"/>
    <w:rsid w:val="70E96D15"/>
    <w:rsid w:val="70FC4273"/>
    <w:rsid w:val="710D130A"/>
    <w:rsid w:val="711041C2"/>
    <w:rsid w:val="71397275"/>
    <w:rsid w:val="715046DC"/>
    <w:rsid w:val="71771B4C"/>
    <w:rsid w:val="71900C5A"/>
    <w:rsid w:val="71900E5F"/>
    <w:rsid w:val="719646C8"/>
    <w:rsid w:val="71A16BC9"/>
    <w:rsid w:val="71B608C6"/>
    <w:rsid w:val="71C32FE3"/>
    <w:rsid w:val="71D62D16"/>
    <w:rsid w:val="71F65166"/>
    <w:rsid w:val="71FF0A70"/>
    <w:rsid w:val="72011CD3"/>
    <w:rsid w:val="721C207D"/>
    <w:rsid w:val="721D0945"/>
    <w:rsid w:val="72842772"/>
    <w:rsid w:val="72A05985"/>
    <w:rsid w:val="72E62DF3"/>
    <w:rsid w:val="72F1592E"/>
    <w:rsid w:val="735008A6"/>
    <w:rsid w:val="735C36EF"/>
    <w:rsid w:val="738B05D2"/>
    <w:rsid w:val="73A3131E"/>
    <w:rsid w:val="73AF7CC3"/>
    <w:rsid w:val="73B726D3"/>
    <w:rsid w:val="73CD1EF7"/>
    <w:rsid w:val="73E3171A"/>
    <w:rsid w:val="73F456D6"/>
    <w:rsid w:val="73F946C3"/>
    <w:rsid w:val="742E61DB"/>
    <w:rsid w:val="743401C8"/>
    <w:rsid w:val="7440091B"/>
    <w:rsid w:val="744523D5"/>
    <w:rsid w:val="74471CA9"/>
    <w:rsid w:val="746E52AC"/>
    <w:rsid w:val="747E57F8"/>
    <w:rsid w:val="74AA2238"/>
    <w:rsid w:val="74B21DF3"/>
    <w:rsid w:val="74C652C4"/>
    <w:rsid w:val="75183646"/>
    <w:rsid w:val="7530273D"/>
    <w:rsid w:val="75385A96"/>
    <w:rsid w:val="75911E19"/>
    <w:rsid w:val="75B53949"/>
    <w:rsid w:val="75B570E6"/>
    <w:rsid w:val="75C15A8B"/>
    <w:rsid w:val="75C8039D"/>
    <w:rsid w:val="75CD4430"/>
    <w:rsid w:val="75D752AF"/>
    <w:rsid w:val="76056CDB"/>
    <w:rsid w:val="760F2C9B"/>
    <w:rsid w:val="76287001"/>
    <w:rsid w:val="762B1157"/>
    <w:rsid w:val="76360227"/>
    <w:rsid w:val="76426A68"/>
    <w:rsid w:val="764566BC"/>
    <w:rsid w:val="76525643"/>
    <w:rsid w:val="765B1A3C"/>
    <w:rsid w:val="76674885"/>
    <w:rsid w:val="767F6B9B"/>
    <w:rsid w:val="76946CFC"/>
    <w:rsid w:val="76A809F9"/>
    <w:rsid w:val="7730111A"/>
    <w:rsid w:val="77846D70"/>
    <w:rsid w:val="778E5E41"/>
    <w:rsid w:val="77C47B24"/>
    <w:rsid w:val="77D870BC"/>
    <w:rsid w:val="77D9530E"/>
    <w:rsid w:val="78520C1D"/>
    <w:rsid w:val="78A475DC"/>
    <w:rsid w:val="78AA57A0"/>
    <w:rsid w:val="78C540D1"/>
    <w:rsid w:val="78FB5758"/>
    <w:rsid w:val="79141325"/>
    <w:rsid w:val="792C76C0"/>
    <w:rsid w:val="79DE4E5E"/>
    <w:rsid w:val="79F24465"/>
    <w:rsid w:val="79FF3026"/>
    <w:rsid w:val="79FF6B82"/>
    <w:rsid w:val="7A0B19CB"/>
    <w:rsid w:val="7A1268B5"/>
    <w:rsid w:val="7A320D06"/>
    <w:rsid w:val="7A7C7771"/>
    <w:rsid w:val="7AB160CE"/>
    <w:rsid w:val="7AB4796D"/>
    <w:rsid w:val="7AD87AFF"/>
    <w:rsid w:val="7AEC7106"/>
    <w:rsid w:val="7AF72CD6"/>
    <w:rsid w:val="7AF91823"/>
    <w:rsid w:val="7B095F0A"/>
    <w:rsid w:val="7B4231CA"/>
    <w:rsid w:val="7BDA78A7"/>
    <w:rsid w:val="7BE137F4"/>
    <w:rsid w:val="7BE81FC4"/>
    <w:rsid w:val="7BEC3136"/>
    <w:rsid w:val="7C0B2CB2"/>
    <w:rsid w:val="7C274566"/>
    <w:rsid w:val="7C296138"/>
    <w:rsid w:val="7C2A25DC"/>
    <w:rsid w:val="7C2B1EB0"/>
    <w:rsid w:val="7C4D62CB"/>
    <w:rsid w:val="7C662EE9"/>
    <w:rsid w:val="7C9C690A"/>
    <w:rsid w:val="7C9E2682"/>
    <w:rsid w:val="7CB96B6B"/>
    <w:rsid w:val="7CBE4AD3"/>
    <w:rsid w:val="7CDB7433"/>
    <w:rsid w:val="7CE46E89"/>
    <w:rsid w:val="7CE81B50"/>
    <w:rsid w:val="7CF16C56"/>
    <w:rsid w:val="7D0263B1"/>
    <w:rsid w:val="7D0821F2"/>
    <w:rsid w:val="7D1F7C67"/>
    <w:rsid w:val="7D3F354D"/>
    <w:rsid w:val="7D57232F"/>
    <w:rsid w:val="7D603DDC"/>
    <w:rsid w:val="7D9B3066"/>
    <w:rsid w:val="7D9D6DDE"/>
    <w:rsid w:val="7DA57A41"/>
    <w:rsid w:val="7DAF266D"/>
    <w:rsid w:val="7DBC2E36"/>
    <w:rsid w:val="7DC91981"/>
    <w:rsid w:val="7DF6029C"/>
    <w:rsid w:val="7EB73ECF"/>
    <w:rsid w:val="7EB75C7D"/>
    <w:rsid w:val="7EBE1BFD"/>
    <w:rsid w:val="7ED14F91"/>
    <w:rsid w:val="7EDC3936"/>
    <w:rsid w:val="7EEF71C5"/>
    <w:rsid w:val="7EFB18B5"/>
    <w:rsid w:val="7EFC681F"/>
    <w:rsid w:val="7F233313"/>
    <w:rsid w:val="7F2A28F3"/>
    <w:rsid w:val="7F5259A6"/>
    <w:rsid w:val="7F68285A"/>
    <w:rsid w:val="7F710522"/>
    <w:rsid w:val="7F7122D0"/>
    <w:rsid w:val="7F853FCE"/>
    <w:rsid w:val="7F905BEC"/>
    <w:rsid w:val="7F945FBF"/>
    <w:rsid w:val="7F98785D"/>
    <w:rsid w:val="7F9F6E3D"/>
    <w:rsid w:val="7FC61D83"/>
    <w:rsid w:val="7FE707E4"/>
    <w:rsid w:val="7FEB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autoRedefine/>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0"/>
    <w:pPr>
      <w:jc w:val="left"/>
    </w:pPr>
  </w:style>
  <w:style w:type="paragraph" w:styleId="4">
    <w:name w:val="Plain Text"/>
    <w:basedOn w:val="1"/>
    <w:autoRedefine/>
    <w:qFormat/>
    <w:uiPriority w:val="0"/>
    <w:rPr>
      <w:rFonts w:hAnsi="Courier New" w:cs="Courier New"/>
      <w:szCs w:val="21"/>
    </w:rPr>
  </w:style>
  <w:style w:type="paragraph" w:styleId="5">
    <w:name w:val="Balloon Text"/>
    <w:basedOn w:val="1"/>
    <w:link w:val="19"/>
    <w:autoRedefine/>
    <w:qFormat/>
    <w:uiPriority w:val="0"/>
    <w:rPr>
      <w:sz w:val="18"/>
      <w:szCs w:val="18"/>
    </w:rPr>
  </w:style>
  <w:style w:type="paragraph" w:styleId="6">
    <w:name w:val="footer"/>
    <w:basedOn w:val="1"/>
    <w:link w:val="18"/>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autoRedefine/>
    <w:unhideWhenUsed/>
    <w:qFormat/>
    <w:uiPriority w:val="39"/>
    <w:pPr>
      <w:widowControl/>
      <w:spacing w:after="100" w:line="259" w:lineRule="auto"/>
      <w:jc w:val="left"/>
    </w:pPr>
    <w:rPr>
      <w:rFonts w:cs="Times New Roman"/>
      <w:kern w:val="0"/>
      <w:sz w:val="22"/>
    </w:rPr>
  </w:style>
  <w:style w:type="paragraph" w:styleId="9">
    <w:name w:val="toc 2"/>
    <w:basedOn w:val="1"/>
    <w:next w:val="1"/>
    <w:autoRedefine/>
    <w:unhideWhenUsed/>
    <w:qFormat/>
    <w:uiPriority w:val="39"/>
    <w:pPr>
      <w:widowControl/>
      <w:spacing w:after="100" w:line="259" w:lineRule="auto"/>
      <w:ind w:left="220"/>
      <w:jc w:val="left"/>
    </w:pPr>
    <w:rPr>
      <w:rFonts w:cs="Times New Roman"/>
      <w:kern w:val="0"/>
      <w:sz w:val="22"/>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1">
    <w:name w:val="annotation subject"/>
    <w:basedOn w:val="3"/>
    <w:next w:val="3"/>
    <w:link w:val="21"/>
    <w:autoRedefine/>
    <w:qFormat/>
    <w:uiPriority w:val="0"/>
    <w:rPr>
      <w:b/>
      <w:bCs/>
    </w:rPr>
  </w:style>
  <w:style w:type="table" w:styleId="13">
    <w:name w:val="Table Grid"/>
    <w:basedOn w:val="12"/>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0"/>
    <w:rPr>
      <w:b/>
    </w:rPr>
  </w:style>
  <w:style w:type="character" w:styleId="16">
    <w:name w:val="annotation reference"/>
    <w:basedOn w:val="14"/>
    <w:autoRedefine/>
    <w:qFormat/>
    <w:uiPriority w:val="0"/>
    <w:rPr>
      <w:sz w:val="21"/>
      <w:szCs w:val="21"/>
    </w:rPr>
  </w:style>
  <w:style w:type="paragraph" w:styleId="17">
    <w:name w:val="List Paragraph"/>
    <w:basedOn w:val="1"/>
    <w:autoRedefine/>
    <w:qFormat/>
    <w:uiPriority w:val="34"/>
    <w:pPr>
      <w:ind w:firstLine="420" w:firstLineChars="200"/>
    </w:pPr>
  </w:style>
  <w:style w:type="character" w:customStyle="1" w:styleId="18">
    <w:name w:val="页脚 字符"/>
    <w:basedOn w:val="14"/>
    <w:link w:val="6"/>
    <w:autoRedefine/>
    <w:qFormat/>
    <w:uiPriority w:val="0"/>
    <w:rPr>
      <w:rFonts w:asciiTheme="minorHAnsi" w:hAnsiTheme="minorHAnsi" w:eastAsiaTheme="minorEastAsia" w:cstheme="minorBidi"/>
      <w:kern w:val="2"/>
      <w:sz w:val="18"/>
      <w:szCs w:val="24"/>
    </w:rPr>
  </w:style>
  <w:style w:type="character" w:customStyle="1" w:styleId="19">
    <w:name w:val="批注框文本 字符"/>
    <w:basedOn w:val="14"/>
    <w:link w:val="5"/>
    <w:autoRedefine/>
    <w:qFormat/>
    <w:uiPriority w:val="0"/>
    <w:rPr>
      <w:rFonts w:asciiTheme="minorHAnsi" w:hAnsiTheme="minorHAnsi" w:eastAsiaTheme="minorEastAsia" w:cstheme="minorBidi"/>
      <w:kern w:val="2"/>
      <w:sz w:val="18"/>
      <w:szCs w:val="18"/>
    </w:rPr>
  </w:style>
  <w:style w:type="character" w:customStyle="1" w:styleId="20">
    <w:name w:val="批注文字 字符"/>
    <w:basedOn w:val="14"/>
    <w:link w:val="3"/>
    <w:autoRedefine/>
    <w:qFormat/>
    <w:uiPriority w:val="0"/>
    <w:rPr>
      <w:rFonts w:asciiTheme="minorHAnsi" w:hAnsiTheme="minorHAnsi" w:eastAsiaTheme="minorEastAsia" w:cstheme="minorBidi"/>
      <w:kern w:val="2"/>
      <w:sz w:val="21"/>
      <w:szCs w:val="24"/>
    </w:rPr>
  </w:style>
  <w:style w:type="character" w:customStyle="1" w:styleId="21">
    <w:name w:val="批注主题 字符"/>
    <w:basedOn w:val="20"/>
    <w:link w:val="11"/>
    <w:autoRedefine/>
    <w:qFormat/>
    <w:uiPriority w:val="0"/>
    <w:rPr>
      <w:rFonts w:asciiTheme="minorHAnsi" w:hAnsiTheme="minorHAnsi" w:eastAsiaTheme="minorEastAsia" w:cstheme="minorBidi"/>
      <w:b/>
      <w:bCs/>
      <w:kern w:val="2"/>
      <w:sz w:val="21"/>
      <w:szCs w:val="24"/>
    </w:rPr>
  </w:style>
  <w:style w:type="character" w:customStyle="1" w:styleId="22">
    <w:name w:val="font31"/>
    <w:basedOn w:val="14"/>
    <w:autoRedefine/>
    <w:qFormat/>
    <w:uiPriority w:val="0"/>
    <w:rPr>
      <w:rFonts w:hint="eastAsia" w:ascii="宋体" w:hAnsi="宋体" w:eastAsia="宋体" w:cs="宋体"/>
      <w:color w:val="000000"/>
      <w:sz w:val="21"/>
      <w:szCs w:val="21"/>
      <w:u w:val="none"/>
    </w:rPr>
  </w:style>
  <w:style w:type="character" w:customStyle="1" w:styleId="23">
    <w:name w:val="font41"/>
    <w:basedOn w:val="14"/>
    <w:autoRedefine/>
    <w:qFormat/>
    <w:uiPriority w:val="0"/>
    <w:rPr>
      <w:rFonts w:hint="default" w:ascii="Calibri" w:hAnsi="Calibri" w:cs="Calibri"/>
      <w:color w:val="000000"/>
      <w:sz w:val="21"/>
      <w:szCs w:val="21"/>
      <w:u w:val="none"/>
    </w:rPr>
  </w:style>
  <w:style w:type="character" w:customStyle="1" w:styleId="24">
    <w:name w:val="font61"/>
    <w:basedOn w:val="14"/>
    <w:autoRedefine/>
    <w:qFormat/>
    <w:uiPriority w:val="0"/>
    <w:rPr>
      <w:rFonts w:hint="eastAsia" w:ascii="宋体" w:hAnsi="宋体" w:eastAsia="宋体" w:cs="宋体"/>
      <w:color w:val="FF0000"/>
      <w:sz w:val="21"/>
      <w:szCs w:val="21"/>
      <w:u w:val="none"/>
    </w:rPr>
  </w:style>
  <w:style w:type="character" w:customStyle="1" w:styleId="25">
    <w:name w:val="font71"/>
    <w:basedOn w:val="14"/>
    <w:autoRedefine/>
    <w:qFormat/>
    <w:uiPriority w:val="0"/>
    <w:rPr>
      <w:rFonts w:hint="default" w:ascii="Calibri" w:hAnsi="Calibri" w:cs="Calibri"/>
      <w:color w:val="FF0000"/>
      <w:sz w:val="21"/>
      <w:szCs w:val="21"/>
      <w:u w:val="none"/>
    </w:rPr>
  </w:style>
  <w:style w:type="character" w:customStyle="1" w:styleId="26">
    <w:name w:val="font51"/>
    <w:basedOn w:val="14"/>
    <w:autoRedefine/>
    <w:qFormat/>
    <w:uiPriority w:val="0"/>
    <w:rPr>
      <w:rFonts w:hint="default" w:ascii="Calibri" w:hAnsi="Calibri" w:cs="Calibri"/>
      <w:color w:val="000000"/>
      <w:sz w:val="21"/>
      <w:szCs w:val="21"/>
      <w:u w:val="none"/>
    </w:rPr>
  </w:style>
  <w:style w:type="character" w:customStyle="1" w:styleId="27">
    <w:name w:val="font81"/>
    <w:basedOn w:val="14"/>
    <w:autoRedefine/>
    <w:qFormat/>
    <w:uiPriority w:val="0"/>
    <w:rPr>
      <w:rFonts w:hint="default" w:ascii="Calibri" w:hAnsi="Calibri" w:cs="Calibri"/>
      <w:color w:val="FF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7132</Words>
  <Characters>7477</Characters>
  <Lines>422</Lines>
  <Paragraphs>251</Paragraphs>
  <TotalTime>5</TotalTime>
  <ScaleCrop>false</ScaleCrop>
  <LinksUpToDate>false</LinksUpToDate>
  <CharactersWithSpaces>7551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2022-05-27T01:09:00Z</dcterms:created>
  <dc:creator>木岭</dc:creator>
  <cp:lastModifiedBy>WPS_1668438692</cp:lastModifiedBy>
  <cp:lastPrinted>2025-05-26T00:58:00Z</cp:lastPrinted>
  <dcterms:modified xsi:type="dcterms:W3CDTF">2025-06-19T08:20:30Z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3C42455A689F48049DF1F83E51F1A7E6_13</vt:lpwstr>
  </property>
  <property fmtid="{D5CDD505-2E9C-101B-9397-08002B2CF9AE}" pid="4" name="KSOTemplateDocerSaveRecord">
    <vt:lpwstr>eyJoZGlkIjoiOGUzNTMzMDE4MDgxOTRhMDRiNzJjNjE3YjMzNzIyMjAiLCJ1c2VySWQiOiIxNDQxNzc4MDg1In0=</vt:lpwstr>
  </property>
</Properties>
</file>